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AA89A9">
      <w:r>
        <w:rPr>
          <w:sz w:val="21"/>
        </w:rPr>
        <mc:AlternateContent>
          <mc:Choice Requires="wps">
            <w:drawing>
              <wp:anchor distT="0" distB="0" distL="114300" distR="114300" simplePos="0" relativeHeight="251660288" behindDoc="0" locked="0" layoutInCell="1" allowOverlap="1">
                <wp:simplePos x="0" y="0"/>
                <wp:positionH relativeFrom="column">
                  <wp:posOffset>-1134745</wp:posOffset>
                </wp:positionH>
                <wp:positionV relativeFrom="paragraph">
                  <wp:posOffset>2144395</wp:posOffset>
                </wp:positionV>
                <wp:extent cx="7561580" cy="87503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61580" cy="875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E15766">
                            <w:pPr>
                              <w:jc w:val="center"/>
                              <w:rPr>
                                <w:rFonts w:hint="default" w:ascii="微软雅黑" w:hAnsi="微软雅黑" w:eastAsia="微软雅黑" w:cs="微软雅黑"/>
                                <w:b/>
                                <w:bCs/>
                                <w:sz w:val="48"/>
                                <w:szCs w:val="60"/>
                                <w:lang w:val="en-US" w:eastAsia="zh-CN"/>
                              </w:rPr>
                            </w:pPr>
                            <w:r>
                              <w:rPr>
                                <w:rFonts w:hint="eastAsia" w:ascii="微软雅黑" w:hAnsi="微软雅黑" w:eastAsia="微软雅黑" w:cs="微软雅黑"/>
                                <w:b/>
                                <w:bCs/>
                                <w:sz w:val="48"/>
                                <w:szCs w:val="60"/>
                                <w:lang w:val="en-US" w:eastAsia="zh-CN"/>
                              </w:rPr>
                              <w:t xml:space="preserve">YT-6（FC100）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35pt;margin-top:168.85pt;height:68.9pt;width:595.4pt;z-index:251660288;mso-width-relative:page;mso-height-relative:page;" filled="f" stroked="f" coordsize="21600,21600" o:gfxdata="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Brio94AAAANAQAADwAAAAAAAAABACAAAAAi&#10;AAAAZHJzL2Rvd25yZXYueG1sUEsBAhQAFAAAAAgAh07iQJ7RDOk9AgAAZgQAAA4AAAAAAAAAAQAg&#10;AAAALQEAAGRycy9lMm9Eb2MueG1sUEsFBgAAAAAGAAYAWQEAANwFAAAAAA==&#10;">
                <v:fill on="f" focussize="0,0"/>
                <v:stroke on="f" weight="0.5pt"/>
                <v:imagedata o:title=""/>
                <o:lock v:ext="edit" aspectratio="f"/>
                <v:textbox>
                  <w:txbxContent>
                    <w:p w14:paraId="75E15766">
                      <w:pPr>
                        <w:jc w:val="center"/>
                        <w:rPr>
                          <w:rFonts w:hint="default" w:ascii="微软雅黑" w:hAnsi="微软雅黑" w:eastAsia="微软雅黑" w:cs="微软雅黑"/>
                          <w:b/>
                          <w:bCs/>
                          <w:sz w:val="48"/>
                          <w:szCs w:val="60"/>
                          <w:lang w:val="en-US" w:eastAsia="zh-CN"/>
                        </w:rPr>
                      </w:pPr>
                      <w:r>
                        <w:rPr>
                          <w:rFonts w:hint="eastAsia" w:ascii="微软雅黑" w:hAnsi="微软雅黑" w:eastAsia="微软雅黑" w:cs="微软雅黑"/>
                          <w:b/>
                          <w:bCs/>
                          <w:sz w:val="48"/>
                          <w:szCs w:val="60"/>
                          <w:lang w:val="en-US" w:eastAsia="zh-CN"/>
                        </w:rPr>
                        <w:t xml:space="preserve">YT-6（FC100） </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-1134745</wp:posOffset>
                </wp:positionH>
                <wp:positionV relativeFrom="paragraph">
                  <wp:posOffset>2886075</wp:posOffset>
                </wp:positionV>
                <wp:extent cx="7561580" cy="87503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561580" cy="875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2069B">
                            <w:pPr>
                              <w:jc w:val="center"/>
                              <w:rPr>
                                <w:rFonts w:hint="default" w:ascii="微软雅黑" w:hAnsi="微软雅黑" w:eastAsia="微软雅黑" w:cs="微软雅黑"/>
                                <w:b/>
                                <w:bCs/>
                                <w:sz w:val="60"/>
                                <w:szCs w:val="112"/>
                                <w:lang w:val="en-US" w:eastAsia="zh-CN"/>
                              </w:rPr>
                            </w:pPr>
                            <w:r>
                              <w:rPr>
                                <w:rFonts w:hint="eastAsia" w:ascii="微软雅黑" w:hAnsi="微软雅黑" w:eastAsia="微软雅黑" w:cs="微软雅黑"/>
                                <w:b/>
                                <w:bCs/>
                                <w:sz w:val="56"/>
                                <w:szCs w:val="96"/>
                                <w:lang w:val="en-US" w:eastAsia="zh-CN"/>
                              </w:rPr>
                              <w:t>用户使用说明书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35pt;margin-top:227.25pt;height:68.9pt;width:595.4pt;z-index:251661312;mso-width-relative:page;mso-height-relative:page;" filled="f" stroked="f" coordsize="21600,21600" o:gfxdata="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am6qjeAAAADQEAAA8AAAAAAAAAAQAgAAAA&#10;IgAAAGRycy9kb3ducmV2LnhtbFBLAQIUABQAAAAIAIdO4kAEqrKlPgIAAGYEAAAOAAAAAAAAAAEA&#10;IAAAAC0BAABkcnMvZTJvRG9jLnhtbFBLBQYAAAAABgAGAFkBAADdBQAAAAA=&#10;">
                <v:fill on="f" focussize="0,0"/>
                <v:stroke on="f" weight="0.5pt"/>
                <v:imagedata o:title=""/>
                <o:lock v:ext="edit" aspectratio="f"/>
                <v:textbox>
                  <w:txbxContent>
                    <w:p w14:paraId="5162069B">
                      <w:pPr>
                        <w:jc w:val="center"/>
                        <w:rPr>
                          <w:rFonts w:hint="default" w:ascii="微软雅黑" w:hAnsi="微软雅黑" w:eastAsia="微软雅黑" w:cs="微软雅黑"/>
                          <w:b/>
                          <w:bCs/>
                          <w:sz w:val="60"/>
                          <w:szCs w:val="112"/>
                          <w:lang w:val="en-US" w:eastAsia="zh-CN"/>
                        </w:rPr>
                      </w:pPr>
                      <w:r>
                        <w:rPr>
                          <w:rFonts w:hint="eastAsia" w:ascii="微软雅黑" w:hAnsi="微软雅黑" w:eastAsia="微软雅黑" w:cs="微软雅黑"/>
                          <w:b/>
                          <w:bCs/>
                          <w:sz w:val="56"/>
                          <w:szCs w:val="96"/>
                          <w:lang w:val="en-US" w:eastAsia="zh-CN"/>
                        </w:rPr>
                        <w:t>用户使用说明书</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-1143635</wp:posOffset>
                </wp:positionH>
                <wp:positionV relativeFrom="paragraph">
                  <wp:posOffset>1487805</wp:posOffset>
                </wp:positionV>
                <wp:extent cx="7561580" cy="875030"/>
                <wp:effectExtent l="0" t="0" r="0" b="0"/>
                <wp:wrapNone/>
                <wp:docPr id="2" name="文本框 2"/>
                <wp:cNvGraphicFramePr/>
                <a:graphic xmlns:a="http://schemas.openxmlformats.org/drawingml/2006/main">
                  <a:graphicData uri="http://schemas.microsoft.com/office/word/2010/wordprocessingShape">
                    <wps:wsp>
                      <wps:cNvSpPr txBox="1"/>
                      <wps:spPr>
                        <a:xfrm>
                          <a:off x="1823720" y="2792730"/>
                          <a:ext cx="7561580" cy="875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3C3A6">
                            <w:pPr>
                              <w:jc w:val="center"/>
                              <w:rPr>
                                <w:rFonts w:hint="default" w:ascii="微软雅黑" w:hAnsi="微软雅黑" w:eastAsia="微软雅黑" w:cs="微软雅黑"/>
                                <w:b/>
                                <w:bCs/>
                                <w:sz w:val="56"/>
                                <w:szCs w:val="96"/>
                                <w:lang w:val="en-US" w:eastAsia="zh-CN"/>
                              </w:rPr>
                            </w:pPr>
                            <w:r>
                              <w:rPr>
                                <w:rFonts w:hint="eastAsia" w:ascii="微软雅黑" w:hAnsi="微软雅黑" w:eastAsia="微软雅黑" w:cs="微软雅黑"/>
                                <w:b/>
                                <w:bCs/>
                                <w:sz w:val="56"/>
                                <w:szCs w:val="96"/>
                                <w:lang w:val="en-US" w:eastAsia="zh-CN"/>
                              </w:rPr>
                              <w:t>FC100六路抛投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05pt;margin-top:117.15pt;height:68.9pt;width:595.4pt;z-index:251659264;mso-width-relative:page;mso-height-relative:page;" filled="f" stroked="f" coordsize="21600,21600" o:gfxdata="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hs4xM3QAAAA0BAAAPAAAAAAAA&#10;AAEAIAAAACIAAABkcnMvZG93bnJldi54bWxQSwECFAAUAAAACACHTuJA9bgqPEYCAAByBAAADgAA&#10;AAAAAAABACAAAAAsAQAAZHJzL2Uyb0RvYy54bWxQSwUGAAAAAAYABgBZAQAA5AUAAAAA&#10;">
                <v:fill on="f" focussize="0,0"/>
                <v:stroke on="f" weight="0.5pt"/>
                <v:imagedata o:title=""/>
                <o:lock v:ext="edit" aspectratio="f"/>
                <v:textbox>
                  <w:txbxContent>
                    <w:p w14:paraId="73F3C3A6">
                      <w:pPr>
                        <w:jc w:val="center"/>
                        <w:rPr>
                          <w:rFonts w:hint="default" w:ascii="微软雅黑" w:hAnsi="微软雅黑" w:eastAsia="微软雅黑" w:cs="微软雅黑"/>
                          <w:b/>
                          <w:bCs/>
                          <w:sz w:val="56"/>
                          <w:szCs w:val="96"/>
                          <w:lang w:val="en-US" w:eastAsia="zh-CN"/>
                        </w:rPr>
                      </w:pPr>
                      <w:r>
                        <w:rPr>
                          <w:rFonts w:hint="eastAsia" w:ascii="微软雅黑" w:hAnsi="微软雅黑" w:eastAsia="微软雅黑" w:cs="微软雅黑"/>
                          <w:b/>
                          <w:bCs/>
                          <w:sz w:val="56"/>
                          <w:szCs w:val="96"/>
                          <w:lang w:val="en-US" w:eastAsia="zh-CN"/>
                        </w:rPr>
                        <w:t>FC100六路抛投</w:t>
                      </w:r>
                    </w:p>
                  </w:txbxContent>
                </v:textbox>
              </v:shape>
            </w:pict>
          </mc:Fallback>
        </mc:AlternateContent>
      </w:r>
    </w:p>
    <w:p w14:paraId="790D3737"/>
    <w:p w14:paraId="66C9ACE8">
      <w:pPr>
        <w:bidi w:val="0"/>
        <w:rPr>
          <w:rFonts w:asciiTheme="minorHAnsi" w:hAnsiTheme="minorHAnsi" w:eastAsiaTheme="minorEastAsia" w:cstheme="minorBidi"/>
          <w:kern w:val="2"/>
          <w:sz w:val="21"/>
          <w:szCs w:val="24"/>
          <w:lang w:val="en-US" w:eastAsia="zh-CN" w:bidi="ar-SA"/>
        </w:rPr>
      </w:pPr>
    </w:p>
    <w:p w14:paraId="538F160B">
      <w:pPr>
        <w:bidi w:val="0"/>
        <w:rPr>
          <w:lang w:val="en-US" w:eastAsia="zh-CN"/>
        </w:rPr>
      </w:pPr>
    </w:p>
    <w:p w14:paraId="7F4C9E9D">
      <w:pPr>
        <w:bidi w:val="0"/>
        <w:rPr>
          <w:lang w:val="en-US" w:eastAsia="zh-CN"/>
        </w:rPr>
      </w:pPr>
    </w:p>
    <w:p w14:paraId="59874CBC">
      <w:pPr>
        <w:bidi w:val="0"/>
        <w:rPr>
          <w:lang w:val="en-US" w:eastAsia="zh-CN"/>
        </w:rPr>
      </w:pPr>
    </w:p>
    <w:p w14:paraId="1CA95862">
      <w:pPr>
        <w:bidi w:val="0"/>
        <w:rPr>
          <w:lang w:val="en-US" w:eastAsia="zh-CN"/>
        </w:rPr>
      </w:pPr>
    </w:p>
    <w:p w14:paraId="2B973E6F">
      <w:pPr>
        <w:bidi w:val="0"/>
        <w:rPr>
          <w:lang w:val="en-US" w:eastAsia="zh-CN"/>
        </w:rPr>
      </w:pPr>
    </w:p>
    <w:p w14:paraId="1437FEE1">
      <w:pPr>
        <w:bidi w:val="0"/>
        <w:rPr>
          <w:lang w:val="en-US" w:eastAsia="zh-CN"/>
        </w:rPr>
      </w:pPr>
    </w:p>
    <w:p w14:paraId="2EC48DFB">
      <w:pPr>
        <w:bidi w:val="0"/>
        <w:rPr>
          <w:lang w:val="en-US" w:eastAsia="zh-CN"/>
        </w:rPr>
      </w:pPr>
    </w:p>
    <w:p w14:paraId="75F89BED">
      <w:pPr>
        <w:bidi w:val="0"/>
        <w:rPr>
          <w:lang w:val="en-US" w:eastAsia="zh-CN"/>
        </w:rPr>
      </w:pPr>
    </w:p>
    <w:p w14:paraId="0565B688">
      <w:pPr>
        <w:bidi w:val="0"/>
        <w:rPr>
          <w:lang w:val="en-US" w:eastAsia="zh-CN"/>
        </w:rPr>
      </w:pPr>
    </w:p>
    <w:p w14:paraId="387146C0">
      <w:pPr>
        <w:bidi w:val="0"/>
        <w:rPr>
          <w:lang w:val="en-US" w:eastAsia="zh-CN"/>
        </w:rPr>
      </w:pPr>
    </w:p>
    <w:p w14:paraId="63A9E439">
      <w:pPr>
        <w:bidi w:val="0"/>
        <w:rPr>
          <w:lang w:val="en-US" w:eastAsia="zh-CN"/>
        </w:rPr>
      </w:pPr>
    </w:p>
    <w:p w14:paraId="7416C946">
      <w:pPr>
        <w:bidi w:val="0"/>
        <w:rPr>
          <w:lang w:val="en-US" w:eastAsia="zh-CN"/>
        </w:rPr>
      </w:pPr>
    </w:p>
    <w:p w14:paraId="75E08DCE">
      <w:pPr>
        <w:bidi w:val="0"/>
        <w:rPr>
          <w:lang w:val="en-US" w:eastAsia="zh-CN"/>
        </w:rPr>
      </w:pPr>
    </w:p>
    <w:p w14:paraId="60DF0269">
      <w:pPr>
        <w:bidi w:val="0"/>
        <w:rPr>
          <w:lang w:val="en-US" w:eastAsia="zh-CN"/>
        </w:rPr>
      </w:pPr>
    </w:p>
    <w:p w14:paraId="414D0453">
      <w:pPr>
        <w:bidi w:val="0"/>
        <w:rPr>
          <w:lang w:val="en-US" w:eastAsia="zh-CN"/>
        </w:rPr>
      </w:pPr>
    </w:p>
    <w:p w14:paraId="5061F9F9">
      <w:pPr>
        <w:bidi w:val="0"/>
        <w:rPr>
          <w:lang w:val="en-US" w:eastAsia="zh-CN"/>
        </w:rPr>
      </w:pPr>
    </w:p>
    <w:p w14:paraId="60C694B4">
      <w:pPr>
        <w:bidi w:val="0"/>
        <w:rPr>
          <w:lang w:val="en-US" w:eastAsia="zh-CN"/>
        </w:rPr>
      </w:pPr>
    </w:p>
    <w:p w14:paraId="7D89EBA6">
      <w:pPr>
        <w:bidi w:val="0"/>
        <w:rPr>
          <w:lang w:val="en-US" w:eastAsia="zh-CN"/>
        </w:rPr>
      </w:pPr>
    </w:p>
    <w:p w14:paraId="71BCB2D7">
      <w:pPr>
        <w:bidi w:val="0"/>
        <w:rPr>
          <w:lang w:val="en-US" w:eastAsia="zh-CN"/>
        </w:rPr>
      </w:pPr>
    </w:p>
    <w:p w14:paraId="20767548">
      <w:pPr>
        <w:bidi w:val="0"/>
        <w:rPr>
          <w:lang w:val="en-US" w:eastAsia="zh-CN"/>
        </w:rPr>
      </w:pPr>
    </w:p>
    <w:p w14:paraId="7F254DB1">
      <w:pPr>
        <w:bidi w:val="0"/>
        <w:rPr>
          <w:lang w:val="en-US" w:eastAsia="zh-CN"/>
        </w:rPr>
      </w:pPr>
    </w:p>
    <w:p w14:paraId="4BBDB987">
      <w:pPr>
        <w:bidi w:val="0"/>
        <w:rPr>
          <w:lang w:val="en-US" w:eastAsia="zh-CN"/>
        </w:rPr>
      </w:pPr>
    </w:p>
    <w:p w14:paraId="3B90DFB0">
      <w:pPr>
        <w:bidi w:val="0"/>
        <w:rPr>
          <w:lang w:val="en-US" w:eastAsia="zh-CN"/>
        </w:rPr>
      </w:pPr>
    </w:p>
    <w:p w14:paraId="305AEF8B">
      <w:pPr>
        <w:bidi w:val="0"/>
        <w:rPr>
          <w:lang w:val="en-US" w:eastAsia="zh-CN"/>
        </w:rPr>
      </w:pPr>
    </w:p>
    <w:p w14:paraId="18579290">
      <w:pPr>
        <w:bidi w:val="0"/>
        <w:rPr>
          <w:lang w:val="en-US" w:eastAsia="zh-CN"/>
        </w:rPr>
      </w:pPr>
    </w:p>
    <w:p w14:paraId="6DB5F2BE">
      <w:pPr>
        <w:bidi w:val="0"/>
        <w:rPr>
          <w:lang w:val="en-US" w:eastAsia="zh-CN"/>
        </w:rPr>
      </w:pPr>
    </w:p>
    <w:p w14:paraId="66706133">
      <w:pPr>
        <w:bidi w:val="0"/>
        <w:rPr>
          <w:lang w:val="en-US" w:eastAsia="zh-CN"/>
        </w:rPr>
      </w:pPr>
    </w:p>
    <w:p w14:paraId="73D2007B">
      <w:pPr>
        <w:tabs>
          <w:tab w:val="center" w:pos="4153"/>
        </w:tabs>
        <w:bidi w:val="0"/>
        <w:jc w:val="center"/>
      </w:pPr>
    </w:p>
    <w:p w14:paraId="3447921A">
      <w:pPr>
        <w:tabs>
          <w:tab w:val="center" w:pos="4153"/>
        </w:tabs>
        <w:bidi w:val="0"/>
        <w:jc w:val="center"/>
      </w:pPr>
    </w:p>
    <w:p w14:paraId="3FE93080">
      <w:pPr>
        <w:tabs>
          <w:tab w:val="center" w:pos="4153"/>
        </w:tabs>
        <w:bidi w:val="0"/>
        <w:jc w:val="center"/>
      </w:pPr>
    </w:p>
    <w:p w14:paraId="57CFB684">
      <w:pPr>
        <w:tabs>
          <w:tab w:val="center" w:pos="4153"/>
        </w:tabs>
        <w:bidi w:val="0"/>
        <w:jc w:val="center"/>
      </w:pPr>
    </w:p>
    <w:p w14:paraId="54C6929A">
      <w:pPr>
        <w:tabs>
          <w:tab w:val="center" w:pos="4153"/>
        </w:tabs>
        <w:bidi w:val="0"/>
        <w:jc w:val="center"/>
      </w:pPr>
    </w:p>
    <w:p w14:paraId="62D35785">
      <w:pPr>
        <w:tabs>
          <w:tab w:val="center" w:pos="4153"/>
        </w:tabs>
        <w:bidi w:val="0"/>
        <w:jc w:val="center"/>
      </w:pPr>
    </w:p>
    <w:p w14:paraId="01B82DB1">
      <w:pPr>
        <w:tabs>
          <w:tab w:val="center" w:pos="4153"/>
        </w:tabs>
        <w:bidi w:val="0"/>
        <w:jc w:val="center"/>
      </w:pPr>
    </w:p>
    <w:p w14:paraId="270BC843">
      <w:pPr>
        <w:tabs>
          <w:tab w:val="center" w:pos="4153"/>
        </w:tabs>
        <w:bidi w:val="0"/>
        <w:jc w:val="center"/>
      </w:pPr>
    </w:p>
    <w:p w14:paraId="2AECEF96">
      <w:pPr>
        <w:tabs>
          <w:tab w:val="center" w:pos="4153"/>
        </w:tabs>
        <w:bidi w:val="0"/>
        <w:jc w:val="center"/>
      </w:pPr>
    </w:p>
    <w:p w14:paraId="49C354A1">
      <w:pPr>
        <w:tabs>
          <w:tab w:val="center" w:pos="4153"/>
        </w:tabs>
        <w:bidi w:val="0"/>
        <w:jc w:val="center"/>
      </w:pPr>
    </w:p>
    <w:p w14:paraId="09919B0A">
      <w:pPr>
        <w:tabs>
          <w:tab w:val="center" w:pos="4153"/>
        </w:tabs>
        <w:bidi w:val="0"/>
        <w:jc w:val="center"/>
      </w:pPr>
    </w:p>
    <w:p w14:paraId="3E31D55F">
      <w:pPr>
        <w:tabs>
          <w:tab w:val="center" w:pos="4153"/>
        </w:tabs>
        <w:bidi w:val="0"/>
        <w:jc w:val="center"/>
        <w:rPr>
          <w:lang w:val="en-US" w:eastAsia="zh-CN"/>
        </w:rPr>
        <w:sectPr>
          <w:headerReference r:id="rId3" w:type="default"/>
          <w:pgSz w:w="11906" w:h="16838"/>
          <w:pgMar w:top="1440" w:right="1800" w:bottom="1440" w:left="1800" w:header="851" w:footer="992" w:gutter="0"/>
          <w:cols w:space="425" w:num="1"/>
          <w:titlePg/>
          <w:docGrid w:type="lines" w:linePitch="312" w:charSpace="0"/>
        </w:sectPr>
      </w:pPr>
    </w:p>
    <w:sdt>
      <w:sdtPr>
        <w:rPr>
          <w:rFonts w:hint="eastAsia"/>
          <w:lang w:val="en-US" w:eastAsia="zh-CN"/>
        </w:rPr>
        <w:id w:val="147475211"/>
        <w15:color w:val="DBDBDB"/>
        <w:docPartObj>
          <w:docPartGallery w:val="Table of Contents"/>
          <w:docPartUnique/>
        </w:docPartObj>
      </w:sdtPr>
      <w:sdtEndPr>
        <w:rPr>
          <w:rFonts w:hint="eastAsia" w:ascii="微软雅黑" w:hAnsi="微软雅黑" w:eastAsia="微软雅黑" w:cs="微软雅黑"/>
          <w:kern w:val="2"/>
          <w:sz w:val="21"/>
          <w:szCs w:val="28"/>
          <w:lang w:val="en-US" w:eastAsia="zh-CN" w:bidi="ar-SA"/>
        </w:rPr>
      </w:sdtEndPr>
      <w:sdtContent>
        <w:p w14:paraId="0D761B20">
          <w:pPr>
            <w:pStyle w:val="2"/>
            <w:bidi w:val="0"/>
            <w:jc w:val="center"/>
          </w:pPr>
          <w:bookmarkStart w:id="0" w:name="_Toc3537"/>
          <w:r>
            <w:rPr>
              <w:rFonts w:hint="eastAsia"/>
            </w:rPr>
            <w:t>目录</w:t>
          </w:r>
          <w:bookmarkEnd w:id="0"/>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TOC \o "1-3" \h \u </w:instrText>
          </w:r>
          <w:r>
            <w:rPr>
              <w:rFonts w:hint="eastAsia" w:ascii="微软雅黑" w:hAnsi="微软雅黑" w:eastAsia="微软雅黑" w:cs="微软雅黑"/>
              <w:sz w:val="24"/>
              <w:szCs w:val="24"/>
            </w:rPr>
            <w:fldChar w:fldCharType="separate"/>
          </w:r>
        </w:p>
        <w:p w14:paraId="6140F4E2">
          <w:pPr>
            <w:pStyle w:val="9"/>
            <w:tabs>
              <w:tab w:val="right" w:leader="dot" w:pos="8306"/>
            </w:tabs>
            <w:jc w:val="both"/>
            <w:rPr>
              <w:rFonts w:hint="eastAsia" w:ascii="微软雅黑" w:hAnsi="微软雅黑" w:eastAsia="微软雅黑" w:cs="微软雅黑"/>
              <w:sz w:val="22"/>
              <w:szCs w:val="28"/>
            </w:rPr>
          </w:pP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HYPERLINK \l _Toc32001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lang w:val="en-US" w:eastAsia="zh-CN"/>
            </w:rPr>
            <w:t>一</w:t>
          </w:r>
          <w:r>
            <w:rPr>
              <w:rFonts w:hint="eastAsia" w:ascii="微软雅黑" w:hAnsi="微软雅黑" w:eastAsia="微软雅黑" w:cs="微软雅黑"/>
              <w:sz w:val="22"/>
              <w:szCs w:val="28"/>
            </w:rPr>
            <w:t>、产品介绍</w:t>
          </w:r>
          <w:r>
            <w:rPr>
              <w:rFonts w:hint="eastAsia" w:ascii="微软雅黑" w:hAnsi="微软雅黑" w:eastAsia="微软雅黑" w:cs="微软雅黑"/>
              <w:sz w:val="22"/>
              <w:szCs w:val="28"/>
            </w:rPr>
            <w:tab/>
          </w: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PAGEREF _Toc32001 \h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rPr>
            <w:t>2</w:t>
          </w:r>
          <w:r>
            <w:rPr>
              <w:rFonts w:hint="eastAsia" w:ascii="微软雅黑" w:hAnsi="微软雅黑" w:eastAsia="微软雅黑" w:cs="微软雅黑"/>
              <w:sz w:val="22"/>
              <w:szCs w:val="28"/>
            </w:rPr>
            <w:fldChar w:fldCharType="end"/>
          </w:r>
          <w:r>
            <w:rPr>
              <w:rFonts w:hint="eastAsia" w:ascii="微软雅黑" w:hAnsi="微软雅黑" w:eastAsia="微软雅黑" w:cs="微软雅黑"/>
              <w:sz w:val="22"/>
              <w:szCs w:val="28"/>
            </w:rPr>
            <w:fldChar w:fldCharType="end"/>
          </w:r>
        </w:p>
        <w:p w14:paraId="75F9025F">
          <w:pPr>
            <w:pStyle w:val="9"/>
            <w:tabs>
              <w:tab w:val="right" w:leader="dot" w:pos="8306"/>
            </w:tabs>
            <w:jc w:val="both"/>
            <w:rPr>
              <w:rFonts w:hint="eastAsia" w:ascii="微软雅黑" w:hAnsi="微软雅黑" w:eastAsia="微软雅黑" w:cs="微软雅黑"/>
              <w:sz w:val="22"/>
              <w:szCs w:val="28"/>
            </w:rPr>
          </w:pP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HYPERLINK \l _Toc32521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lang w:val="en-US" w:eastAsia="zh-CN"/>
            </w:rPr>
            <w:t>二</w:t>
          </w:r>
          <w:r>
            <w:rPr>
              <w:rFonts w:hint="eastAsia" w:ascii="微软雅黑" w:hAnsi="微软雅黑" w:eastAsia="微软雅黑" w:cs="微软雅黑"/>
              <w:sz w:val="22"/>
              <w:szCs w:val="28"/>
            </w:rPr>
            <w:t>、规格参数</w:t>
          </w:r>
          <w:r>
            <w:rPr>
              <w:rFonts w:hint="eastAsia" w:ascii="微软雅黑" w:hAnsi="微软雅黑" w:eastAsia="微软雅黑" w:cs="微软雅黑"/>
              <w:sz w:val="22"/>
              <w:szCs w:val="28"/>
            </w:rPr>
            <w:tab/>
          </w: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PAGEREF _Toc32521 \h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rPr>
            <w:t>2</w:t>
          </w:r>
          <w:r>
            <w:rPr>
              <w:rFonts w:hint="eastAsia" w:ascii="微软雅黑" w:hAnsi="微软雅黑" w:eastAsia="微软雅黑" w:cs="微软雅黑"/>
              <w:sz w:val="22"/>
              <w:szCs w:val="28"/>
            </w:rPr>
            <w:fldChar w:fldCharType="end"/>
          </w:r>
          <w:r>
            <w:rPr>
              <w:rFonts w:hint="eastAsia" w:ascii="微软雅黑" w:hAnsi="微软雅黑" w:eastAsia="微软雅黑" w:cs="微软雅黑"/>
              <w:sz w:val="22"/>
              <w:szCs w:val="28"/>
            </w:rPr>
            <w:fldChar w:fldCharType="end"/>
          </w:r>
        </w:p>
        <w:p w14:paraId="4D34EDE3">
          <w:pPr>
            <w:pStyle w:val="9"/>
            <w:tabs>
              <w:tab w:val="right" w:leader="dot" w:pos="8306"/>
            </w:tabs>
            <w:jc w:val="both"/>
            <w:rPr>
              <w:rFonts w:hint="eastAsia" w:ascii="微软雅黑" w:hAnsi="微软雅黑" w:eastAsia="微软雅黑" w:cs="微软雅黑"/>
              <w:sz w:val="22"/>
              <w:szCs w:val="28"/>
            </w:rPr>
          </w:pP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HYPERLINK \l _Toc19161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lang w:val="en-US" w:eastAsia="zh-CN"/>
            </w:rPr>
            <w:t>三、 包装清单</w:t>
          </w:r>
          <w:r>
            <w:rPr>
              <w:rFonts w:hint="eastAsia" w:ascii="微软雅黑" w:hAnsi="微软雅黑" w:eastAsia="微软雅黑" w:cs="微软雅黑"/>
              <w:sz w:val="22"/>
              <w:szCs w:val="28"/>
            </w:rPr>
            <w:tab/>
          </w: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PAGEREF _Toc19161 \h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rPr>
            <w:t>3</w:t>
          </w:r>
          <w:r>
            <w:rPr>
              <w:rFonts w:hint="eastAsia" w:ascii="微软雅黑" w:hAnsi="微软雅黑" w:eastAsia="微软雅黑" w:cs="微软雅黑"/>
              <w:sz w:val="22"/>
              <w:szCs w:val="28"/>
            </w:rPr>
            <w:fldChar w:fldCharType="end"/>
          </w:r>
          <w:r>
            <w:rPr>
              <w:rFonts w:hint="eastAsia" w:ascii="微软雅黑" w:hAnsi="微软雅黑" w:eastAsia="微软雅黑" w:cs="微软雅黑"/>
              <w:sz w:val="22"/>
              <w:szCs w:val="28"/>
            </w:rPr>
            <w:fldChar w:fldCharType="end"/>
          </w:r>
        </w:p>
        <w:p w14:paraId="460A8B3B">
          <w:pPr>
            <w:pStyle w:val="9"/>
            <w:tabs>
              <w:tab w:val="right" w:leader="dot" w:pos="8306"/>
            </w:tabs>
            <w:jc w:val="both"/>
            <w:rPr>
              <w:rFonts w:hint="eastAsia" w:ascii="微软雅黑" w:hAnsi="微软雅黑" w:eastAsia="微软雅黑" w:cs="微软雅黑"/>
              <w:sz w:val="22"/>
              <w:szCs w:val="28"/>
            </w:rPr>
          </w:pP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HYPERLINK \l _Toc28580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lang w:val="en-US" w:eastAsia="zh-CN"/>
            </w:rPr>
            <w:t>四、 安装说明</w:t>
          </w:r>
          <w:r>
            <w:rPr>
              <w:rFonts w:hint="eastAsia" w:ascii="微软雅黑" w:hAnsi="微软雅黑" w:eastAsia="微软雅黑" w:cs="微软雅黑"/>
              <w:sz w:val="22"/>
              <w:szCs w:val="28"/>
            </w:rPr>
            <w:tab/>
          </w: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PAGEREF _Toc28580 \h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rPr>
            <w:t>4</w:t>
          </w:r>
          <w:r>
            <w:rPr>
              <w:rFonts w:hint="eastAsia" w:ascii="微软雅黑" w:hAnsi="微软雅黑" w:eastAsia="微软雅黑" w:cs="微软雅黑"/>
              <w:sz w:val="22"/>
              <w:szCs w:val="28"/>
            </w:rPr>
            <w:fldChar w:fldCharType="end"/>
          </w:r>
          <w:r>
            <w:rPr>
              <w:rFonts w:hint="eastAsia" w:ascii="微软雅黑" w:hAnsi="微软雅黑" w:eastAsia="微软雅黑" w:cs="微软雅黑"/>
              <w:sz w:val="22"/>
              <w:szCs w:val="28"/>
            </w:rPr>
            <w:fldChar w:fldCharType="end"/>
          </w:r>
        </w:p>
        <w:p w14:paraId="233978BB">
          <w:pPr>
            <w:pStyle w:val="9"/>
            <w:tabs>
              <w:tab w:val="right" w:leader="dot" w:pos="8306"/>
            </w:tabs>
            <w:jc w:val="both"/>
            <w:rPr>
              <w:rFonts w:hint="eastAsia" w:ascii="微软雅黑" w:hAnsi="微软雅黑" w:eastAsia="微软雅黑" w:cs="微软雅黑"/>
              <w:sz w:val="22"/>
              <w:szCs w:val="28"/>
            </w:rPr>
          </w:pP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HYPERLINK \l _Toc11968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lang w:val="en-US" w:eastAsia="zh-CN"/>
            </w:rPr>
            <w:t>五、 设备使用说明</w:t>
          </w:r>
          <w:r>
            <w:rPr>
              <w:rFonts w:hint="eastAsia" w:ascii="微软雅黑" w:hAnsi="微软雅黑" w:eastAsia="微软雅黑" w:cs="微软雅黑"/>
              <w:sz w:val="22"/>
              <w:szCs w:val="28"/>
            </w:rPr>
            <w:tab/>
          </w: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PAGEREF _Toc11968 \h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rPr>
            <w:t>4</w:t>
          </w:r>
          <w:r>
            <w:rPr>
              <w:rFonts w:hint="eastAsia" w:ascii="微软雅黑" w:hAnsi="微软雅黑" w:eastAsia="微软雅黑" w:cs="微软雅黑"/>
              <w:sz w:val="22"/>
              <w:szCs w:val="28"/>
            </w:rPr>
            <w:fldChar w:fldCharType="end"/>
          </w:r>
          <w:r>
            <w:rPr>
              <w:rFonts w:hint="eastAsia" w:ascii="微软雅黑" w:hAnsi="微软雅黑" w:eastAsia="微软雅黑" w:cs="微软雅黑"/>
              <w:sz w:val="22"/>
              <w:szCs w:val="28"/>
            </w:rPr>
            <w:fldChar w:fldCharType="end"/>
          </w:r>
        </w:p>
        <w:p w14:paraId="4D0E1E80">
          <w:pPr>
            <w:pStyle w:val="9"/>
            <w:tabs>
              <w:tab w:val="right" w:leader="dot" w:pos="8306"/>
            </w:tabs>
            <w:jc w:val="both"/>
            <w:rPr>
              <w:rFonts w:hint="eastAsia" w:ascii="微软雅黑" w:hAnsi="微软雅黑" w:eastAsia="微软雅黑" w:cs="微软雅黑"/>
              <w:sz w:val="22"/>
              <w:szCs w:val="28"/>
            </w:rPr>
          </w:pP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HYPERLINK \l _Toc22116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lang w:val="en-US" w:eastAsia="zh-CN"/>
            </w:rPr>
            <w:t>六、 免责声明与警告</w:t>
          </w:r>
          <w:r>
            <w:rPr>
              <w:rFonts w:hint="eastAsia" w:ascii="微软雅黑" w:hAnsi="微软雅黑" w:eastAsia="微软雅黑" w:cs="微软雅黑"/>
              <w:sz w:val="22"/>
              <w:szCs w:val="28"/>
            </w:rPr>
            <w:tab/>
          </w: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PAGEREF _Toc22116 \h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rPr>
            <w:t>11</w:t>
          </w:r>
          <w:r>
            <w:rPr>
              <w:rFonts w:hint="eastAsia" w:ascii="微软雅黑" w:hAnsi="微软雅黑" w:eastAsia="微软雅黑" w:cs="微软雅黑"/>
              <w:sz w:val="22"/>
              <w:szCs w:val="28"/>
            </w:rPr>
            <w:fldChar w:fldCharType="end"/>
          </w:r>
          <w:r>
            <w:rPr>
              <w:rFonts w:hint="eastAsia" w:ascii="微软雅黑" w:hAnsi="微软雅黑" w:eastAsia="微软雅黑" w:cs="微软雅黑"/>
              <w:sz w:val="22"/>
              <w:szCs w:val="28"/>
            </w:rPr>
            <w:fldChar w:fldCharType="end"/>
          </w:r>
        </w:p>
        <w:p w14:paraId="760E4565">
          <w:pPr>
            <w:pStyle w:val="9"/>
            <w:tabs>
              <w:tab w:val="right" w:leader="dot" w:pos="8306"/>
            </w:tabs>
            <w:jc w:val="both"/>
            <w:rPr>
              <w:rFonts w:hint="eastAsia" w:ascii="微软雅黑" w:hAnsi="微软雅黑" w:eastAsia="微软雅黑" w:cs="微软雅黑"/>
              <w:sz w:val="22"/>
              <w:szCs w:val="28"/>
            </w:rPr>
          </w:pP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HYPERLINK \l _Toc10298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lang w:val="en-US" w:eastAsia="zh-CN"/>
            </w:rPr>
            <w:t>七、 保修条款</w:t>
          </w:r>
          <w:r>
            <w:rPr>
              <w:rFonts w:hint="eastAsia" w:ascii="微软雅黑" w:hAnsi="微软雅黑" w:eastAsia="微软雅黑" w:cs="微软雅黑"/>
              <w:sz w:val="22"/>
              <w:szCs w:val="28"/>
            </w:rPr>
            <w:tab/>
          </w: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PAGEREF _Toc10298 \h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rPr>
            <w:t>12</w:t>
          </w:r>
          <w:r>
            <w:rPr>
              <w:rFonts w:hint="eastAsia" w:ascii="微软雅黑" w:hAnsi="微软雅黑" w:eastAsia="微软雅黑" w:cs="微软雅黑"/>
              <w:sz w:val="22"/>
              <w:szCs w:val="28"/>
            </w:rPr>
            <w:fldChar w:fldCharType="end"/>
          </w:r>
          <w:r>
            <w:rPr>
              <w:rFonts w:hint="eastAsia" w:ascii="微软雅黑" w:hAnsi="微软雅黑" w:eastAsia="微软雅黑" w:cs="微软雅黑"/>
              <w:sz w:val="22"/>
              <w:szCs w:val="28"/>
            </w:rPr>
            <w:fldChar w:fldCharType="end"/>
          </w:r>
        </w:p>
        <w:p w14:paraId="75218BBD">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微软雅黑" w:hAnsi="微软雅黑" w:eastAsia="微软雅黑" w:cs="微软雅黑"/>
              <w:kern w:val="2"/>
              <w:sz w:val="21"/>
              <w:szCs w:val="28"/>
              <w:lang w:val="en-US" w:eastAsia="zh-CN" w:bidi="ar-SA"/>
            </w:rPr>
          </w:pPr>
          <w:r>
            <w:rPr>
              <w:rFonts w:hint="eastAsia" w:ascii="微软雅黑" w:hAnsi="微软雅黑" w:eastAsia="微软雅黑" w:cs="微软雅黑"/>
              <w:szCs w:val="24"/>
            </w:rPr>
            <w:fldChar w:fldCharType="end"/>
          </w:r>
        </w:p>
      </w:sdtContent>
    </w:sdt>
    <w:p w14:paraId="21408B59">
      <w:pPr>
        <w:rPr>
          <w:rFonts w:ascii="微软雅黑" w:hAnsi="微软雅黑" w:eastAsia="微软雅黑" w:cs="微软雅黑"/>
          <w:kern w:val="2"/>
          <w:sz w:val="21"/>
          <w:szCs w:val="28"/>
          <w:lang w:val="en-US" w:eastAsia="zh-CN" w:bidi="ar-SA"/>
        </w:rPr>
      </w:pPr>
    </w:p>
    <w:p w14:paraId="7DE06BE3">
      <w:pPr>
        <w:rPr>
          <w:rFonts w:ascii="微软雅黑" w:hAnsi="微软雅黑" w:eastAsia="微软雅黑" w:cs="微软雅黑"/>
          <w:sz w:val="28"/>
          <w:szCs w:val="28"/>
        </w:rPr>
      </w:pPr>
    </w:p>
    <w:p w14:paraId="516EAAD1">
      <w:pPr>
        <w:rPr>
          <w:rFonts w:ascii="微软雅黑" w:hAnsi="微软雅黑" w:eastAsia="微软雅黑" w:cs="微软雅黑"/>
          <w:sz w:val="28"/>
          <w:szCs w:val="28"/>
        </w:rPr>
      </w:pPr>
    </w:p>
    <w:p w14:paraId="02C07FF3">
      <w:pPr>
        <w:rPr>
          <w:rFonts w:ascii="微软雅黑" w:hAnsi="微软雅黑" w:eastAsia="微软雅黑" w:cs="微软雅黑"/>
          <w:sz w:val="28"/>
          <w:szCs w:val="28"/>
        </w:rPr>
      </w:pPr>
    </w:p>
    <w:p w14:paraId="61571F4E">
      <w:pPr>
        <w:rPr>
          <w:rFonts w:ascii="微软雅黑" w:hAnsi="微软雅黑" w:eastAsia="微软雅黑" w:cs="微软雅黑"/>
          <w:sz w:val="28"/>
          <w:szCs w:val="28"/>
        </w:rPr>
      </w:pPr>
    </w:p>
    <w:p w14:paraId="3C3EE806">
      <w:pPr>
        <w:rPr>
          <w:rFonts w:ascii="微软雅黑" w:hAnsi="微软雅黑" w:eastAsia="微软雅黑" w:cs="微软雅黑"/>
          <w:sz w:val="28"/>
          <w:szCs w:val="28"/>
        </w:rPr>
      </w:pPr>
    </w:p>
    <w:p w14:paraId="06560EFC">
      <w:pPr>
        <w:rPr>
          <w:rFonts w:ascii="微软雅黑" w:hAnsi="微软雅黑" w:eastAsia="微软雅黑" w:cs="微软雅黑"/>
          <w:sz w:val="28"/>
          <w:szCs w:val="28"/>
        </w:rPr>
      </w:pPr>
    </w:p>
    <w:p w14:paraId="0E440AC3">
      <w:pPr>
        <w:rPr>
          <w:rFonts w:ascii="微软雅黑" w:hAnsi="微软雅黑" w:eastAsia="微软雅黑" w:cs="微软雅黑"/>
          <w:sz w:val="28"/>
          <w:szCs w:val="28"/>
        </w:rPr>
      </w:pPr>
    </w:p>
    <w:p w14:paraId="3F56E579">
      <w:pPr>
        <w:rPr>
          <w:rFonts w:ascii="微软雅黑" w:hAnsi="微软雅黑" w:eastAsia="微软雅黑" w:cs="微软雅黑"/>
          <w:sz w:val="28"/>
          <w:szCs w:val="28"/>
        </w:rPr>
      </w:pPr>
    </w:p>
    <w:p w14:paraId="7C0526C7">
      <w:pPr>
        <w:rPr>
          <w:rFonts w:ascii="微软雅黑" w:hAnsi="微软雅黑" w:eastAsia="微软雅黑" w:cs="微软雅黑"/>
          <w:sz w:val="28"/>
          <w:szCs w:val="28"/>
        </w:rPr>
      </w:pPr>
    </w:p>
    <w:p w14:paraId="498227A0">
      <w:pPr>
        <w:pStyle w:val="3"/>
        <w:keepNext/>
        <w:keepLines/>
        <w:pageBreakBefore w:val="0"/>
        <w:widowControl w:val="0"/>
        <w:kinsoku/>
        <w:wordWrap/>
        <w:overflowPunct/>
        <w:topLinePunct w:val="0"/>
        <w:autoSpaceDE/>
        <w:autoSpaceDN/>
        <w:bidi w:val="0"/>
        <w:adjustRightInd/>
        <w:snapToGrid/>
        <w:spacing w:line="360" w:lineRule="auto"/>
        <w:textAlignment w:val="auto"/>
      </w:pPr>
      <w:bookmarkStart w:id="1" w:name="_Toc32001"/>
      <w:r>
        <w:rPr>
          <w:rFonts w:hint="eastAsia"/>
          <w:lang w:val="en-US" w:eastAsia="zh-CN"/>
        </w:rPr>
        <w:t>一</w:t>
      </w:r>
      <w:r>
        <w:t>、产品介绍</w:t>
      </w:r>
      <w:bookmarkEnd w:id="1"/>
    </w:p>
    <w:p w14:paraId="60A3117A">
      <w:pPr>
        <w:ind w:firstLine="420" w:firstLineChars="0"/>
        <w:rPr>
          <w:rFonts w:hint="eastAsia" w:ascii="微软雅黑" w:hAnsi="微软雅黑" w:eastAsia="微软雅黑" w:cs="微软雅黑"/>
          <w:color w:val="231F20"/>
          <w:spacing w:val="1"/>
          <w:sz w:val="22"/>
          <w:szCs w:val="22"/>
          <w:lang w:val="en-US" w:eastAsia="zh-CN"/>
        </w:rPr>
      </w:pPr>
      <w:r>
        <w:rPr>
          <w:rFonts w:hint="eastAsia" w:ascii="微软雅黑" w:hAnsi="微软雅黑" w:eastAsia="微软雅黑" w:cs="微软雅黑"/>
          <w:color w:val="231F20"/>
          <w:spacing w:val="1"/>
          <w:sz w:val="22"/>
          <w:szCs w:val="22"/>
          <w:lang w:val="en-US" w:eastAsia="zh-CN"/>
        </w:rPr>
        <w:t>本系统适配大疆FC100无人机平台，仅需30秒即可完成灭火弹挂载，基于大疆PSDK开发，可实现通控器一体化控制，且能读取飞行器实时高度实现空爆。且该抛投器可用于应急物资空投使用，为森林消防解决打早打小和物资投送难题。</w:t>
      </w:r>
    </w:p>
    <w:p w14:paraId="2DDC52DE">
      <w:pPr>
        <w:keepNext w:val="0"/>
        <w:keepLines w:val="0"/>
        <w:pageBreakBefore w:val="0"/>
        <w:widowControl w:val="0"/>
        <w:kinsoku/>
        <w:wordWrap/>
        <w:overflowPunct/>
        <w:topLinePunct w:val="0"/>
        <w:autoSpaceDE/>
        <w:autoSpaceDN/>
        <w:bidi w:val="0"/>
        <w:adjustRightInd/>
        <w:snapToGrid/>
        <w:spacing w:before="316" w:line="360" w:lineRule="auto"/>
        <w:ind w:left="23" w:right="108" w:hanging="6"/>
        <w:jc w:val="center"/>
        <w:textAlignment w:val="auto"/>
        <w:rPr>
          <w:rFonts w:hint="eastAsia" w:ascii="微软雅黑" w:hAnsi="微软雅黑" w:eastAsia="微软雅黑" w:cs="微软雅黑"/>
          <w:color w:val="231F20"/>
          <w:spacing w:val="-1"/>
          <w:sz w:val="22"/>
          <w:szCs w:val="22"/>
          <w:lang w:eastAsia="zh-CN"/>
        </w:rPr>
      </w:pPr>
      <w:r>
        <w:drawing>
          <wp:inline distT="0" distB="0" distL="114300" distR="114300">
            <wp:extent cx="3505200" cy="158115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6"/>
                    <a:stretch>
                      <a:fillRect/>
                    </a:stretch>
                  </pic:blipFill>
                  <pic:spPr>
                    <a:xfrm>
                      <a:off x="0" y="0"/>
                      <a:ext cx="3505200" cy="1581150"/>
                    </a:xfrm>
                    <a:prstGeom prst="rect">
                      <a:avLst/>
                    </a:prstGeom>
                    <a:noFill/>
                    <a:ln>
                      <a:noFill/>
                    </a:ln>
                  </pic:spPr>
                </pic:pic>
              </a:graphicData>
            </a:graphic>
          </wp:inline>
        </w:drawing>
      </w:r>
    </w:p>
    <w:p w14:paraId="0832981F">
      <w:pPr>
        <w:pStyle w:val="3"/>
        <w:keepNext/>
        <w:keepLines/>
        <w:pageBreakBefore w:val="0"/>
        <w:widowControl w:val="0"/>
        <w:kinsoku/>
        <w:wordWrap/>
        <w:overflowPunct/>
        <w:topLinePunct w:val="0"/>
        <w:autoSpaceDE/>
        <w:autoSpaceDN/>
        <w:bidi w:val="0"/>
        <w:adjustRightInd/>
        <w:snapToGrid/>
        <w:spacing w:line="360" w:lineRule="auto"/>
        <w:textAlignment w:val="auto"/>
      </w:pPr>
      <w:bookmarkStart w:id="2" w:name="_Toc32521"/>
      <w:r>
        <w:rPr>
          <w:rFonts w:hint="eastAsia"/>
          <w:lang w:val="en-US" w:eastAsia="zh-CN"/>
        </w:rPr>
        <w:t>二</w:t>
      </w:r>
      <w:r>
        <w:t>、规格参数</w:t>
      </w:r>
      <w:bookmarkEnd w:id="2"/>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1"/>
        <w:gridCol w:w="4128"/>
      </w:tblGrid>
      <w:tr w14:paraId="71E4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071" w:type="dxa"/>
            <w:vAlign w:val="center"/>
          </w:tcPr>
          <w:p w14:paraId="7708553B">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抛投器尺寸</w:t>
            </w:r>
          </w:p>
        </w:tc>
        <w:tc>
          <w:tcPr>
            <w:tcW w:w="4128" w:type="dxa"/>
            <w:vAlign w:val="center"/>
          </w:tcPr>
          <w:p w14:paraId="5863A219">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480mm*260mm*145mm（±5mm）</w:t>
            </w:r>
          </w:p>
        </w:tc>
      </w:tr>
      <w:tr w14:paraId="386E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071" w:type="dxa"/>
            <w:vAlign w:val="center"/>
          </w:tcPr>
          <w:p w14:paraId="064BF1E4">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抛投器总重量</w:t>
            </w:r>
          </w:p>
        </w:tc>
        <w:tc>
          <w:tcPr>
            <w:tcW w:w="4128" w:type="dxa"/>
            <w:vAlign w:val="center"/>
          </w:tcPr>
          <w:p w14:paraId="320B3F2F">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3kg</w:t>
            </w:r>
          </w:p>
        </w:tc>
      </w:tr>
      <w:tr w14:paraId="6B3A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071" w:type="dxa"/>
            <w:vAlign w:val="center"/>
          </w:tcPr>
          <w:p w14:paraId="6CB5D73F">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安装方式</w:t>
            </w:r>
          </w:p>
        </w:tc>
        <w:tc>
          <w:tcPr>
            <w:tcW w:w="4128" w:type="dxa"/>
            <w:vAlign w:val="center"/>
          </w:tcPr>
          <w:p w14:paraId="0F733E8E">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旋钮式快拆 </w:t>
            </w:r>
          </w:p>
        </w:tc>
      </w:tr>
      <w:tr w14:paraId="00C2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071" w:type="dxa"/>
            <w:vAlign w:val="center"/>
          </w:tcPr>
          <w:p w14:paraId="377ECBEE">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安装位置</w:t>
            </w:r>
          </w:p>
        </w:tc>
        <w:tc>
          <w:tcPr>
            <w:tcW w:w="4128" w:type="dxa"/>
            <w:vAlign w:val="center"/>
          </w:tcPr>
          <w:p w14:paraId="2792C479">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机腹下 </w:t>
            </w:r>
          </w:p>
        </w:tc>
      </w:tr>
      <w:tr w14:paraId="54A4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071" w:type="dxa"/>
            <w:vAlign w:val="center"/>
          </w:tcPr>
          <w:p w14:paraId="4D6E83B8">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峰值功率</w:t>
            </w:r>
          </w:p>
        </w:tc>
        <w:tc>
          <w:tcPr>
            <w:tcW w:w="4128" w:type="dxa"/>
            <w:vAlign w:val="center"/>
          </w:tcPr>
          <w:p w14:paraId="4A9299FB">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≤60w</w:t>
            </w:r>
          </w:p>
        </w:tc>
      </w:tr>
      <w:tr w14:paraId="4981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14:paraId="1CD31849">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最大载重</w:t>
            </w:r>
          </w:p>
        </w:tc>
        <w:tc>
          <w:tcPr>
            <w:tcW w:w="4128" w:type="dxa"/>
            <w:vAlign w:val="center"/>
          </w:tcPr>
          <w:p w14:paraId="204B6F05">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中间2钩80kg/两侧4钩50kg </w:t>
            </w:r>
          </w:p>
        </w:tc>
      </w:tr>
      <w:tr w14:paraId="0620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14:paraId="29D27C27">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标配挂钩数量</w:t>
            </w:r>
          </w:p>
        </w:tc>
        <w:tc>
          <w:tcPr>
            <w:tcW w:w="4128" w:type="dxa"/>
            <w:vAlign w:val="center"/>
          </w:tcPr>
          <w:p w14:paraId="0D38FBDE">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6个 </w:t>
            </w:r>
          </w:p>
        </w:tc>
      </w:tr>
      <w:tr w14:paraId="7F83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14:paraId="6FE2181F">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投放方式</w:t>
            </w:r>
          </w:p>
        </w:tc>
        <w:tc>
          <w:tcPr>
            <w:tcW w:w="4128" w:type="dxa"/>
            <w:vAlign w:val="center"/>
          </w:tcPr>
          <w:p w14:paraId="097F2649">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序列式电控，可一次一路或一次多路方式自由组合</w:t>
            </w:r>
          </w:p>
        </w:tc>
      </w:tr>
      <w:tr w14:paraId="017A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14:paraId="294F320E">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引爆高度信息源</w:t>
            </w:r>
          </w:p>
        </w:tc>
        <w:tc>
          <w:tcPr>
            <w:tcW w:w="4128" w:type="dxa"/>
            <w:vAlign w:val="center"/>
          </w:tcPr>
          <w:p w14:paraId="3E944070">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支持获取飞行器自带雷达对地高度 </w:t>
            </w:r>
          </w:p>
        </w:tc>
      </w:tr>
      <w:tr w14:paraId="2AF1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14:paraId="0538577F">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投弹飞行高度限制</w:t>
            </w:r>
          </w:p>
        </w:tc>
        <w:tc>
          <w:tcPr>
            <w:tcW w:w="4128" w:type="dxa"/>
            <w:vAlign w:val="center"/>
          </w:tcPr>
          <w:p w14:paraId="6453EA7B">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≤59m</w:t>
            </w:r>
          </w:p>
        </w:tc>
      </w:tr>
      <w:tr w14:paraId="7C52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14:paraId="366AA4C8">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灭火弹通信接口</w:t>
            </w:r>
          </w:p>
        </w:tc>
        <w:tc>
          <w:tcPr>
            <w:tcW w:w="4128" w:type="dxa"/>
            <w:vAlign w:val="center"/>
          </w:tcPr>
          <w:p w14:paraId="4A73A735">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1~4个四芯航空插座</w:t>
            </w:r>
          </w:p>
        </w:tc>
      </w:tr>
      <w:tr w14:paraId="3EF0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14:paraId="2553C0C6">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安全功能</w:t>
            </w:r>
          </w:p>
        </w:tc>
        <w:tc>
          <w:tcPr>
            <w:tcW w:w="4128" w:type="dxa"/>
            <w:vAlign w:val="center"/>
          </w:tcPr>
          <w:p w14:paraId="7418E9EC">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具备安全开关、可在遥控器显示弹体状态</w:t>
            </w:r>
          </w:p>
        </w:tc>
      </w:tr>
      <w:tr w14:paraId="6E41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shd w:val="clear" w:color="auto" w:fill="auto"/>
            <w:vAlign w:val="center"/>
          </w:tcPr>
          <w:p w14:paraId="7D358F72">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控制方式</w:t>
            </w:r>
          </w:p>
        </w:tc>
        <w:tc>
          <w:tcPr>
            <w:tcW w:w="4128" w:type="dxa"/>
            <w:shd w:val="clear" w:color="auto" w:fill="auto"/>
            <w:vAlign w:val="center"/>
          </w:tcPr>
          <w:p w14:paraId="11BCAB06">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PSDK</w:t>
            </w:r>
          </w:p>
        </w:tc>
      </w:tr>
      <w:tr w14:paraId="5D64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shd w:val="clear" w:color="auto" w:fill="auto"/>
            <w:vAlign w:val="center"/>
          </w:tcPr>
          <w:p w14:paraId="1392CE79">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通信链路</w:t>
            </w:r>
          </w:p>
        </w:tc>
        <w:tc>
          <w:tcPr>
            <w:tcW w:w="4128" w:type="dxa"/>
            <w:shd w:val="clear" w:color="auto" w:fill="auto"/>
            <w:vAlign w:val="center"/>
          </w:tcPr>
          <w:p w14:paraId="22F618FA">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大疆无人机链路</w:t>
            </w:r>
          </w:p>
        </w:tc>
      </w:tr>
      <w:tr w14:paraId="4909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14:paraId="3471A21F">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控制距离</w:t>
            </w:r>
          </w:p>
        </w:tc>
        <w:tc>
          <w:tcPr>
            <w:tcW w:w="4128" w:type="dxa"/>
            <w:vAlign w:val="center"/>
          </w:tcPr>
          <w:p w14:paraId="648F438F">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与无人机通信距离一致</w:t>
            </w:r>
          </w:p>
        </w:tc>
      </w:tr>
      <w:tr w14:paraId="01CD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14:paraId="28E6BCB0">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通信接口</w:t>
            </w:r>
          </w:p>
        </w:tc>
        <w:tc>
          <w:tcPr>
            <w:tcW w:w="4128" w:type="dxa"/>
            <w:vAlign w:val="center"/>
          </w:tcPr>
          <w:p w14:paraId="5C493BA8">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大疆FlyCart 100 E-Port Lite </w:t>
            </w:r>
          </w:p>
        </w:tc>
      </w:tr>
      <w:tr w14:paraId="1E9F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14:paraId="18A47FB3">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供电接口</w:t>
            </w:r>
          </w:p>
        </w:tc>
        <w:tc>
          <w:tcPr>
            <w:tcW w:w="4128" w:type="dxa"/>
            <w:vAlign w:val="center"/>
          </w:tcPr>
          <w:p w14:paraId="3BB4F57D">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FlyCart 100 空吊系统接口</w:t>
            </w:r>
          </w:p>
        </w:tc>
      </w:tr>
      <w:tr w14:paraId="0695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14:paraId="39EFF23E">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适配机型</w:t>
            </w:r>
          </w:p>
        </w:tc>
        <w:tc>
          <w:tcPr>
            <w:tcW w:w="4128" w:type="dxa"/>
            <w:vAlign w:val="center"/>
          </w:tcPr>
          <w:p w14:paraId="0F16F9B7">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大疆FC100标准套</w:t>
            </w:r>
          </w:p>
        </w:tc>
      </w:tr>
    </w:tbl>
    <w:p w14:paraId="46343CF3">
      <w:pPr>
        <w:pStyle w:val="3"/>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pPr>
      <w:bookmarkStart w:id="3" w:name="_Toc19161"/>
      <w:r>
        <w:rPr>
          <w:rFonts w:hint="eastAsia"/>
          <w:lang w:val="en-US" w:eastAsia="zh-CN"/>
        </w:rPr>
        <w:t>包装清单</w:t>
      </w:r>
      <w:bookmarkEnd w:id="3"/>
    </w:p>
    <w:p w14:paraId="6EAB6563">
      <w:pPr>
        <w:numPr>
          <w:ilvl w:val="0"/>
          <w:numId w:val="0"/>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标配</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0"/>
        <w:gridCol w:w="4120"/>
      </w:tblGrid>
      <w:tr w14:paraId="13FE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120" w:type="dxa"/>
          </w:tcPr>
          <w:p w14:paraId="5535040C">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物品</w:t>
            </w:r>
          </w:p>
        </w:tc>
        <w:tc>
          <w:tcPr>
            <w:tcW w:w="4120" w:type="dxa"/>
          </w:tcPr>
          <w:p w14:paraId="7FB51D41">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数量</w:t>
            </w:r>
          </w:p>
        </w:tc>
      </w:tr>
      <w:tr w14:paraId="26F4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120" w:type="dxa"/>
          </w:tcPr>
          <w:p w14:paraId="211F44BD">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抛投器</w:t>
            </w:r>
          </w:p>
        </w:tc>
        <w:tc>
          <w:tcPr>
            <w:tcW w:w="4120" w:type="dxa"/>
          </w:tcPr>
          <w:p w14:paraId="04768005">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w:t>
            </w:r>
          </w:p>
        </w:tc>
      </w:tr>
      <w:tr w14:paraId="2789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120" w:type="dxa"/>
          </w:tcPr>
          <w:p w14:paraId="7269F095">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安装支架</w:t>
            </w:r>
          </w:p>
        </w:tc>
        <w:tc>
          <w:tcPr>
            <w:tcW w:w="4120" w:type="dxa"/>
          </w:tcPr>
          <w:p w14:paraId="4123E161">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w:t>
            </w:r>
          </w:p>
        </w:tc>
      </w:tr>
      <w:tr w14:paraId="2367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120" w:type="dxa"/>
          </w:tcPr>
          <w:p w14:paraId="4A2BE35F">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合格证</w:t>
            </w:r>
          </w:p>
        </w:tc>
        <w:tc>
          <w:tcPr>
            <w:tcW w:w="4120" w:type="dxa"/>
          </w:tcPr>
          <w:p w14:paraId="1A5328B3">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w:t>
            </w:r>
          </w:p>
        </w:tc>
      </w:tr>
      <w:tr w14:paraId="2DEF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120" w:type="dxa"/>
          </w:tcPr>
          <w:p w14:paraId="032FA761">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供电线</w:t>
            </w:r>
          </w:p>
        </w:tc>
        <w:tc>
          <w:tcPr>
            <w:tcW w:w="4120" w:type="dxa"/>
          </w:tcPr>
          <w:p w14:paraId="138B5553">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w:t>
            </w:r>
          </w:p>
        </w:tc>
      </w:tr>
      <w:tr w14:paraId="79A9D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120" w:type="dxa"/>
          </w:tcPr>
          <w:p w14:paraId="42898B63">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数据线</w:t>
            </w:r>
          </w:p>
        </w:tc>
        <w:tc>
          <w:tcPr>
            <w:tcW w:w="4120" w:type="dxa"/>
          </w:tcPr>
          <w:p w14:paraId="746A9E75">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w:t>
            </w:r>
          </w:p>
        </w:tc>
      </w:tr>
      <w:tr w14:paraId="507E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120" w:type="dxa"/>
          </w:tcPr>
          <w:p w14:paraId="083EB9F4">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灭火弹数据线</w:t>
            </w:r>
          </w:p>
        </w:tc>
        <w:tc>
          <w:tcPr>
            <w:tcW w:w="4120" w:type="dxa"/>
          </w:tcPr>
          <w:p w14:paraId="47A619A0">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4</w:t>
            </w:r>
          </w:p>
        </w:tc>
      </w:tr>
      <w:tr w14:paraId="68095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120" w:type="dxa"/>
          </w:tcPr>
          <w:p w14:paraId="603B174E">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M3L型扳手</w:t>
            </w:r>
          </w:p>
        </w:tc>
        <w:tc>
          <w:tcPr>
            <w:tcW w:w="4120" w:type="dxa"/>
          </w:tcPr>
          <w:p w14:paraId="726CAA3C">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w:t>
            </w:r>
          </w:p>
        </w:tc>
      </w:tr>
    </w:tbl>
    <w:p w14:paraId="4E543834">
      <w:pPr>
        <w:numPr>
          <w:ilvl w:val="0"/>
          <w:numId w:val="0"/>
        </w:numPr>
        <w:rPr>
          <w:rFonts w:hint="default" w:ascii="微软雅黑" w:hAnsi="微软雅黑" w:eastAsia="微软雅黑" w:cs="微软雅黑"/>
          <w:sz w:val="22"/>
          <w:szCs w:val="22"/>
          <w:lang w:val="en-US" w:eastAsia="zh-CN"/>
        </w:rPr>
      </w:pPr>
    </w:p>
    <w:p w14:paraId="34770069">
      <w:pPr>
        <w:pStyle w:val="3"/>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pPr>
      <w:bookmarkStart w:id="4" w:name="_Toc28580"/>
      <w:r>
        <w:rPr>
          <w:rFonts w:hint="eastAsia"/>
          <w:lang w:val="en-US" w:eastAsia="zh-CN"/>
        </w:rPr>
        <w:t>安装说明</w:t>
      </w:r>
      <w:bookmarkEnd w:id="4"/>
    </w:p>
    <w:p w14:paraId="0880A236">
      <w:pPr>
        <w:numPr>
          <w:ilvl w:val="0"/>
          <w:numId w:val="2"/>
        </w:numPr>
        <w:rPr>
          <w:rFonts w:hint="eastAsia" w:ascii="微软雅黑" w:hAnsi="微软雅黑" w:eastAsia="微软雅黑" w:cs="微软雅黑"/>
          <w:sz w:val="22"/>
          <w:szCs w:val="22"/>
          <w:lang w:val="en-US" w:eastAsia="zh-CN"/>
        </w:rPr>
      </w:pPr>
      <w:bookmarkStart w:id="5" w:name="_Toc11968"/>
      <w:r>
        <w:rPr>
          <w:rFonts w:hint="eastAsia" w:ascii="微软雅黑" w:hAnsi="微软雅黑" w:eastAsia="微软雅黑" w:cs="微软雅黑"/>
          <w:sz w:val="22"/>
          <w:szCs w:val="22"/>
          <w:lang w:val="en-US" w:eastAsia="zh-CN"/>
        </w:rPr>
        <w:t>拆下飞机前盖</w:t>
      </w:r>
    </w:p>
    <w:p w14:paraId="159FC04B">
      <w:pPr>
        <w:numPr>
          <w:ilvl w:val="0"/>
          <w:numId w:val="0"/>
        </w:numPr>
        <w:jc w:val="center"/>
      </w:pPr>
      <w:r>
        <w:drawing>
          <wp:inline distT="0" distB="0" distL="114300" distR="114300">
            <wp:extent cx="3959860" cy="1988185"/>
            <wp:effectExtent l="0" t="0" r="2540" b="1206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stretch>
                      <a:fillRect/>
                    </a:stretch>
                  </pic:blipFill>
                  <pic:spPr>
                    <a:xfrm>
                      <a:off x="0" y="0"/>
                      <a:ext cx="3959860" cy="1988185"/>
                    </a:xfrm>
                    <a:prstGeom prst="rect">
                      <a:avLst/>
                    </a:prstGeom>
                    <a:noFill/>
                    <a:ln>
                      <a:noFill/>
                    </a:ln>
                  </pic:spPr>
                </pic:pic>
              </a:graphicData>
            </a:graphic>
          </wp:inline>
        </w:drawing>
      </w:r>
    </w:p>
    <w:p w14:paraId="01C949E8">
      <w:pPr>
        <w:numPr>
          <w:ilvl w:val="0"/>
          <w:numId w:val="2"/>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将配套的type-c线接入type-c口</w:t>
      </w:r>
    </w:p>
    <w:p w14:paraId="0075EC7D">
      <w:pPr>
        <w:numPr>
          <w:ilvl w:val="0"/>
          <w:numId w:val="0"/>
        </w:numPr>
        <w:jc w:val="center"/>
      </w:pPr>
      <w:r>
        <w:drawing>
          <wp:inline distT="0" distB="0" distL="114300" distR="114300">
            <wp:extent cx="3959860" cy="2506980"/>
            <wp:effectExtent l="0" t="0" r="2540" b="762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8"/>
                    <a:stretch>
                      <a:fillRect/>
                    </a:stretch>
                  </pic:blipFill>
                  <pic:spPr>
                    <a:xfrm>
                      <a:off x="0" y="0"/>
                      <a:ext cx="3959860" cy="2506980"/>
                    </a:xfrm>
                    <a:prstGeom prst="rect">
                      <a:avLst/>
                    </a:prstGeom>
                    <a:noFill/>
                    <a:ln>
                      <a:noFill/>
                    </a:ln>
                  </pic:spPr>
                </pic:pic>
              </a:graphicData>
            </a:graphic>
          </wp:inline>
        </w:drawing>
      </w:r>
    </w:p>
    <w:p w14:paraId="6C22E613">
      <w:pPr>
        <w:numPr>
          <w:ilvl w:val="0"/>
          <w:numId w:val="2"/>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取下机臂上的分电板保护罩</w:t>
      </w:r>
    </w:p>
    <w:p w14:paraId="4B214BEB">
      <w:pPr>
        <w:widowControl w:val="0"/>
        <w:numPr>
          <w:ilvl w:val="0"/>
          <w:numId w:val="0"/>
        </w:numPr>
        <w:jc w:val="center"/>
      </w:pPr>
      <w:r>
        <w:drawing>
          <wp:inline distT="0" distB="0" distL="114300" distR="114300">
            <wp:extent cx="3959860" cy="2277745"/>
            <wp:effectExtent l="0" t="0" r="2540" b="825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9"/>
                    <a:stretch>
                      <a:fillRect/>
                    </a:stretch>
                  </pic:blipFill>
                  <pic:spPr>
                    <a:xfrm>
                      <a:off x="0" y="0"/>
                      <a:ext cx="3959860" cy="2277745"/>
                    </a:xfrm>
                    <a:prstGeom prst="rect">
                      <a:avLst/>
                    </a:prstGeom>
                    <a:noFill/>
                    <a:ln>
                      <a:noFill/>
                    </a:ln>
                  </pic:spPr>
                </pic:pic>
              </a:graphicData>
            </a:graphic>
          </wp:inline>
        </w:drawing>
      </w:r>
    </w:p>
    <w:p w14:paraId="2213AA31">
      <w:pPr>
        <w:widowControl w:val="0"/>
        <w:numPr>
          <w:ilvl w:val="0"/>
          <w:numId w:val="0"/>
        </w:numPr>
        <w:jc w:val="center"/>
      </w:pPr>
    </w:p>
    <w:p w14:paraId="473C1BD9">
      <w:pPr>
        <w:numPr>
          <w:ilvl w:val="0"/>
          <w:numId w:val="2"/>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将供电线按同一颜色对接</w:t>
      </w:r>
    </w:p>
    <w:p w14:paraId="518C5996">
      <w:pPr>
        <w:widowControl w:val="0"/>
        <w:numPr>
          <w:ilvl w:val="0"/>
          <w:numId w:val="0"/>
        </w:numPr>
        <w:jc w:val="center"/>
      </w:pPr>
      <w:r>
        <w:drawing>
          <wp:inline distT="0" distB="0" distL="114300" distR="114300">
            <wp:extent cx="3959860" cy="2234565"/>
            <wp:effectExtent l="0" t="0" r="2540" b="1333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0"/>
                    <a:stretch>
                      <a:fillRect/>
                    </a:stretch>
                  </pic:blipFill>
                  <pic:spPr>
                    <a:xfrm>
                      <a:off x="0" y="0"/>
                      <a:ext cx="3959860" cy="2234565"/>
                    </a:xfrm>
                    <a:prstGeom prst="rect">
                      <a:avLst/>
                    </a:prstGeom>
                    <a:noFill/>
                    <a:ln>
                      <a:noFill/>
                    </a:ln>
                  </pic:spPr>
                </pic:pic>
              </a:graphicData>
            </a:graphic>
          </wp:inline>
        </w:drawing>
      </w:r>
    </w:p>
    <w:p w14:paraId="5BDEE27A">
      <w:pPr>
        <w:numPr>
          <w:ilvl w:val="0"/>
          <w:numId w:val="2"/>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拆除FC100横梁下挂载</w:t>
      </w:r>
    </w:p>
    <w:p w14:paraId="7EB20B3F">
      <w:pPr>
        <w:widowControl w:val="0"/>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3959860" cy="2644775"/>
            <wp:effectExtent l="0" t="0" r="2540" b="3175"/>
            <wp:docPr id="23" name="图片 23" descr="fd7d82e0b898863ab66e166b1cb4b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d7d82e0b898863ab66e166b1cb4b4f0"/>
                    <pic:cNvPicPr>
                      <a:picLocks noChangeAspect="1"/>
                    </pic:cNvPicPr>
                  </pic:nvPicPr>
                  <pic:blipFill>
                    <a:blip r:embed="rId11"/>
                    <a:srcRect b="18190"/>
                    <a:stretch>
                      <a:fillRect/>
                    </a:stretch>
                  </pic:blipFill>
                  <pic:spPr>
                    <a:xfrm>
                      <a:off x="0" y="0"/>
                      <a:ext cx="3959860" cy="2644775"/>
                    </a:xfrm>
                    <a:prstGeom prst="rect">
                      <a:avLst/>
                    </a:prstGeom>
                  </pic:spPr>
                </pic:pic>
              </a:graphicData>
            </a:graphic>
          </wp:inline>
        </w:drawing>
      </w:r>
    </w:p>
    <w:p w14:paraId="4DED6142">
      <w:pPr>
        <w:numPr>
          <w:ilvl w:val="0"/>
          <w:numId w:val="2"/>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拆除后横梁下会有安装孔位</w:t>
      </w:r>
    </w:p>
    <w:p w14:paraId="4960BB80">
      <w:pPr>
        <w:widowControl w:val="0"/>
        <w:numPr>
          <w:ilvl w:val="0"/>
          <w:numId w:val="0"/>
        </w:numPr>
        <w:jc w:val="center"/>
      </w:pPr>
      <w:r>
        <w:drawing>
          <wp:inline distT="0" distB="0" distL="114300" distR="114300">
            <wp:extent cx="2673350" cy="1865630"/>
            <wp:effectExtent l="0" t="0" r="12700" b="127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2"/>
                    <a:stretch>
                      <a:fillRect/>
                    </a:stretch>
                  </pic:blipFill>
                  <pic:spPr>
                    <a:xfrm>
                      <a:off x="0" y="0"/>
                      <a:ext cx="2673350" cy="1865630"/>
                    </a:xfrm>
                    <a:prstGeom prst="rect">
                      <a:avLst/>
                    </a:prstGeom>
                    <a:noFill/>
                    <a:ln>
                      <a:noFill/>
                    </a:ln>
                  </pic:spPr>
                </pic:pic>
              </a:graphicData>
            </a:graphic>
          </wp:inline>
        </w:drawing>
      </w:r>
    </w:p>
    <w:p w14:paraId="1EB0213B">
      <w:pPr>
        <w:numPr>
          <w:ilvl w:val="0"/>
          <w:numId w:val="2"/>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准备机载端快拆和4颗M6x20螺丝</w:t>
      </w:r>
    </w:p>
    <w:p w14:paraId="014C84ED">
      <w:pPr>
        <w:widowControl w:val="0"/>
        <w:numPr>
          <w:ilvl w:val="0"/>
          <w:numId w:val="0"/>
        </w:numPr>
        <w:jc w:val="center"/>
      </w:pPr>
      <w:r>
        <w:drawing>
          <wp:inline distT="0" distB="0" distL="114300" distR="114300">
            <wp:extent cx="3275965" cy="2644140"/>
            <wp:effectExtent l="0" t="0" r="635" b="381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tretch>
                      <a:fillRect/>
                    </a:stretch>
                  </pic:blipFill>
                  <pic:spPr>
                    <a:xfrm>
                      <a:off x="0" y="0"/>
                      <a:ext cx="3275965" cy="2644140"/>
                    </a:xfrm>
                    <a:prstGeom prst="rect">
                      <a:avLst/>
                    </a:prstGeom>
                    <a:noFill/>
                    <a:ln>
                      <a:noFill/>
                    </a:ln>
                  </pic:spPr>
                </pic:pic>
              </a:graphicData>
            </a:graphic>
          </wp:inline>
        </w:drawing>
      </w:r>
    </w:p>
    <w:p w14:paraId="3C9AE485">
      <w:pPr>
        <w:numPr>
          <w:ilvl w:val="0"/>
          <w:numId w:val="2"/>
        </w:numP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快拆与孔位对齐后，使用螺丝固定。   注意：槽口与机头同向</w:t>
      </w:r>
    </w:p>
    <w:p w14:paraId="0E15DD7B">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3599815" cy="2642870"/>
            <wp:effectExtent l="0" t="0" r="635" b="5080"/>
            <wp:docPr id="1" name="图片 1" descr="0fa424d6aee08f134389dfd4c9b30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fa424d6aee08f134389dfd4c9b30dfb"/>
                    <pic:cNvPicPr>
                      <a:picLocks noChangeAspect="1"/>
                    </pic:cNvPicPr>
                  </pic:nvPicPr>
                  <pic:blipFill>
                    <a:blip r:embed="rId14"/>
                    <a:srcRect b="26572"/>
                    <a:stretch>
                      <a:fillRect/>
                    </a:stretch>
                  </pic:blipFill>
                  <pic:spPr>
                    <a:xfrm>
                      <a:off x="0" y="0"/>
                      <a:ext cx="3599815" cy="2642870"/>
                    </a:xfrm>
                    <a:prstGeom prst="rect">
                      <a:avLst/>
                    </a:prstGeom>
                  </pic:spPr>
                </pic:pic>
              </a:graphicData>
            </a:graphic>
          </wp:inline>
        </w:drawing>
      </w:r>
    </w:p>
    <w:p w14:paraId="48287105">
      <w:pPr>
        <w:numPr>
          <w:ilvl w:val="0"/>
          <w:numId w:val="2"/>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将负载通信接口与负载电源输入接口正对自己，然后插入机载端快拆。</w:t>
      </w:r>
    </w:p>
    <w:p w14:paraId="7EB1898C">
      <w:pPr>
        <w:numPr>
          <w:ilvl w:val="0"/>
          <w:numId w:val="0"/>
        </w:numPr>
        <w:jc w:val="center"/>
      </w:pPr>
      <w:r>
        <w:drawing>
          <wp:inline distT="0" distB="0" distL="114300" distR="114300">
            <wp:extent cx="3959860" cy="2354580"/>
            <wp:effectExtent l="0" t="0" r="254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3959860" cy="2354580"/>
                    </a:xfrm>
                    <a:prstGeom prst="rect">
                      <a:avLst/>
                    </a:prstGeom>
                    <a:noFill/>
                    <a:ln>
                      <a:noFill/>
                    </a:ln>
                  </pic:spPr>
                </pic:pic>
              </a:graphicData>
            </a:graphic>
          </wp:inline>
        </w:drawing>
      </w:r>
    </w:p>
    <w:p w14:paraId="187B16AC">
      <w:pPr>
        <w:numPr>
          <w:ilvl w:val="0"/>
          <w:numId w:val="2"/>
        </w:numP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旋转左右两边的快插旋钮将快拆锁住并插上负载通信线和负载电源线。</w:t>
      </w:r>
    </w:p>
    <w:p w14:paraId="246907DE">
      <w:pPr>
        <w:numPr>
          <w:ilvl w:val="0"/>
          <w:numId w:val="0"/>
        </w:numPr>
        <w:jc w:val="center"/>
        <w:rPr>
          <w:rFonts w:hint="eastAsia" w:ascii="微软雅黑" w:hAnsi="微软雅黑" w:eastAsia="微软雅黑" w:cs="微软雅黑"/>
          <w:sz w:val="22"/>
          <w:szCs w:val="22"/>
          <w:lang w:val="en-US" w:eastAsia="zh-CN"/>
        </w:rPr>
      </w:pPr>
      <w:r>
        <w:drawing>
          <wp:inline distT="0" distB="0" distL="114300" distR="114300">
            <wp:extent cx="3959860" cy="1972945"/>
            <wp:effectExtent l="0" t="0" r="2540"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3959860" cy="1972945"/>
                    </a:xfrm>
                    <a:prstGeom prst="rect">
                      <a:avLst/>
                    </a:prstGeom>
                    <a:noFill/>
                    <a:ln>
                      <a:noFill/>
                    </a:ln>
                  </pic:spPr>
                </pic:pic>
              </a:graphicData>
            </a:graphic>
          </wp:inline>
        </w:drawing>
      </w:r>
    </w:p>
    <w:p w14:paraId="767E17F5">
      <w:pPr>
        <w:pStyle w:val="3"/>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设备使用说明</w:t>
      </w:r>
      <w:bookmarkEnd w:id="5"/>
    </w:p>
    <w:p w14:paraId="6CA8BC8D">
      <w:pPr>
        <w:numPr>
          <w:ilvl w:val="0"/>
          <w:numId w:val="3"/>
        </w:numPr>
        <w:bidi w:val="0"/>
        <w:ind w:leftChars="0"/>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开启无人机，进入飞行界面，点击PSDK按钮</w:t>
      </w:r>
    </w:p>
    <w:p w14:paraId="51F2F313">
      <w:pPr>
        <w:numPr>
          <w:ilvl w:val="0"/>
          <w:numId w:val="0"/>
        </w:numPr>
        <w:jc w:val="center"/>
      </w:pPr>
      <w:r>
        <w:drawing>
          <wp:inline distT="0" distB="0" distL="114300" distR="114300">
            <wp:extent cx="3959860" cy="2451735"/>
            <wp:effectExtent l="0" t="0" r="2540" b="5715"/>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17"/>
                    <a:stretch>
                      <a:fillRect/>
                    </a:stretch>
                  </pic:blipFill>
                  <pic:spPr>
                    <a:xfrm>
                      <a:off x="0" y="0"/>
                      <a:ext cx="3959860" cy="2451735"/>
                    </a:xfrm>
                    <a:prstGeom prst="rect">
                      <a:avLst/>
                    </a:prstGeom>
                    <a:noFill/>
                    <a:ln>
                      <a:noFill/>
                    </a:ln>
                  </pic:spPr>
                </pic:pic>
              </a:graphicData>
            </a:graphic>
          </wp:inline>
        </w:drawing>
      </w:r>
    </w:p>
    <w:p w14:paraId="00F8BCAB">
      <w:pPr>
        <w:numPr>
          <w:ilvl w:val="0"/>
          <w:numId w:val="0"/>
        </w:numPr>
        <w:jc w:val="center"/>
      </w:pPr>
      <w:r>
        <w:drawing>
          <wp:inline distT="0" distB="0" distL="114300" distR="114300">
            <wp:extent cx="3959860" cy="2456815"/>
            <wp:effectExtent l="0" t="0" r="2540" b="63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18"/>
                    <a:stretch>
                      <a:fillRect/>
                    </a:stretch>
                  </pic:blipFill>
                  <pic:spPr>
                    <a:xfrm>
                      <a:off x="0" y="0"/>
                      <a:ext cx="3959860" cy="2456815"/>
                    </a:xfrm>
                    <a:prstGeom prst="rect">
                      <a:avLst/>
                    </a:prstGeom>
                    <a:noFill/>
                    <a:ln>
                      <a:noFill/>
                    </a:ln>
                  </pic:spPr>
                </pic:pic>
              </a:graphicData>
            </a:graphic>
          </wp:inline>
        </w:drawing>
      </w:r>
    </w:p>
    <w:p w14:paraId="5061A374">
      <w:pPr>
        <w:keepNext w:val="0"/>
        <w:keepLines w:val="0"/>
        <w:pageBreakBefore w:val="0"/>
        <w:widowControl w:val="0"/>
        <w:numPr>
          <w:ilvl w:val="0"/>
          <w:numId w:val="0"/>
        </w:numPr>
        <w:kinsoku/>
        <w:wordWrap/>
        <w:overflowPunct/>
        <w:topLinePunct w:val="0"/>
        <w:autoSpaceDE/>
        <w:autoSpaceDN/>
        <w:bidi w:val="0"/>
        <w:adjustRightInd/>
        <w:snapToGrid/>
        <w:ind w:left="440" w:hanging="440" w:hanging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组件说明：</w:t>
      </w:r>
    </w:p>
    <w:p w14:paraId="628F0007">
      <w:pPr>
        <w:keepNext w:val="0"/>
        <w:keepLines w:val="0"/>
        <w:pageBreakBefore w:val="0"/>
        <w:widowControl w:val="0"/>
        <w:numPr>
          <w:ilvl w:val="0"/>
          <w:numId w:val="0"/>
        </w:numPr>
        <w:kinsoku/>
        <w:wordWrap/>
        <w:overflowPunct/>
        <w:topLinePunct w:val="0"/>
        <w:autoSpaceDE/>
        <w:autoSpaceDN/>
        <w:bidi w:val="0"/>
        <w:adjustRightInd/>
        <w:snapToGrid/>
        <w:ind w:left="440" w:hanging="440" w:hanging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1：状态：可显示使用灭火弹的注意事项，飞机当前对地高度以及灭火弹爆炸时的对地高度，灭火弹当前状态。</w:t>
      </w:r>
    </w:p>
    <w:p w14:paraId="7911776D">
      <w:pPr>
        <w:keepNext w:val="0"/>
        <w:keepLines w:val="0"/>
        <w:pageBreakBefore w:val="0"/>
        <w:widowControl w:val="0"/>
        <w:numPr>
          <w:ilvl w:val="0"/>
          <w:numId w:val="0"/>
        </w:numPr>
        <w:kinsoku/>
        <w:wordWrap/>
        <w:overflowPunct/>
        <w:topLinePunct w:val="0"/>
        <w:autoSpaceDE/>
        <w:autoSpaceDN/>
        <w:bidi w:val="0"/>
        <w:adjustRightInd/>
        <w:snapToGrid/>
        <w:ind w:left="440" w:hanging="440" w:hanging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2：防误触开关：打开此开关后才可进行抛投器的功能操作。</w:t>
      </w:r>
    </w:p>
    <w:p w14:paraId="4615C095">
      <w:pPr>
        <w:keepNext w:val="0"/>
        <w:keepLines w:val="0"/>
        <w:pageBreakBefore w:val="0"/>
        <w:widowControl w:val="0"/>
        <w:numPr>
          <w:ilvl w:val="0"/>
          <w:numId w:val="0"/>
        </w:numPr>
        <w:kinsoku/>
        <w:wordWrap/>
        <w:overflowPunct/>
        <w:topLinePunct w:val="0"/>
        <w:autoSpaceDE/>
        <w:autoSpaceDN/>
        <w:bidi w:val="0"/>
        <w:adjustRightInd/>
        <w:snapToGrid/>
        <w:ind w:left="440" w:hanging="440" w:hanging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3：单钩开启选择：可选择指定序号通道的抛投钩开启/关闭。</w:t>
      </w:r>
    </w:p>
    <w:p w14:paraId="0FE1569D">
      <w:pPr>
        <w:keepNext w:val="0"/>
        <w:keepLines w:val="0"/>
        <w:pageBreakBefore w:val="0"/>
        <w:widowControl w:val="0"/>
        <w:numPr>
          <w:ilvl w:val="0"/>
          <w:numId w:val="0"/>
        </w:numPr>
        <w:kinsoku/>
        <w:wordWrap/>
        <w:overflowPunct/>
        <w:topLinePunct w:val="0"/>
        <w:autoSpaceDE/>
        <w:autoSpaceDN/>
        <w:bidi w:val="0"/>
        <w:adjustRightInd/>
        <w:snapToGrid/>
        <w:ind w:left="440" w:hanging="440" w:hanging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4：抛钩全部开启：可同时开启/关闭全部抛投钩。</w:t>
      </w:r>
    </w:p>
    <w:p w14:paraId="455C6597">
      <w:pPr>
        <w:keepNext w:val="0"/>
        <w:keepLines w:val="0"/>
        <w:pageBreakBefore w:val="0"/>
        <w:widowControl w:val="0"/>
        <w:numPr>
          <w:ilvl w:val="0"/>
          <w:numId w:val="0"/>
        </w:numPr>
        <w:kinsoku/>
        <w:wordWrap/>
        <w:overflowPunct/>
        <w:topLinePunct w:val="0"/>
        <w:autoSpaceDE/>
        <w:autoSpaceDN/>
        <w:bidi w:val="0"/>
        <w:adjustRightInd/>
        <w:snapToGrid/>
        <w:ind w:left="440" w:hanging="440" w:hanging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5：灭火弹准备开关：使用灭火弹时需要将此按钮点亮，点亮该开关后可查看灭火弹的状态，灭火弹总共有五种状态，分别为：禁止起爆、充电中、高度不足、允许起爆、未连接，灭火弹的状态会从静止起爆-&gt;充电中-&gt;允许起爆或者高度不足。当灭火弹状态仅为允许起爆时才可将灭火弹扔下并成功起爆。当状态为高度不足时，表示飞机高度不足，可提高飞机的对地高度直至显示允许起爆。关闭灭火弹准备开关时，灭火弹状态会从允许起爆-&gt;禁止起爆。</w:t>
      </w:r>
    </w:p>
    <w:p w14:paraId="48FC88DF">
      <w:pPr>
        <w:keepNext w:val="0"/>
        <w:keepLines w:val="0"/>
        <w:pageBreakBefore w:val="0"/>
        <w:widowControl w:val="0"/>
        <w:numPr>
          <w:ilvl w:val="0"/>
          <w:numId w:val="0"/>
        </w:numPr>
        <w:kinsoku/>
        <w:wordWrap/>
        <w:overflowPunct/>
        <w:topLinePunct w:val="0"/>
        <w:autoSpaceDE/>
        <w:autoSpaceDN/>
        <w:bidi w:val="0"/>
        <w:adjustRightInd/>
        <w:snapToGrid/>
        <w:ind w:left="440" w:hanging="440" w:hanging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灭火弹投放步骤说明：</w:t>
      </w:r>
    </w:p>
    <w:p w14:paraId="4368B86C">
      <w:pPr>
        <w:keepNext w:val="0"/>
        <w:keepLines w:val="0"/>
        <w:pageBreakBefore w:val="0"/>
        <w:widowControl w:val="0"/>
        <w:numPr>
          <w:ilvl w:val="0"/>
          <w:numId w:val="4"/>
        </w:numPr>
        <w:kinsoku/>
        <w:wordWrap/>
        <w:overflowPunct/>
        <w:topLinePunct w:val="0"/>
        <w:autoSpaceDE/>
        <w:autoSpaceDN/>
        <w:bidi w:val="0"/>
        <w:adjustRightInd/>
        <w:snapToGrid/>
        <w:ind w:left="440" w:hanging="440" w:hangingChars="200"/>
        <w:textAlignment w:val="auto"/>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点击防误触开关</w:t>
      </w:r>
    </w:p>
    <w:p w14:paraId="30F42E94">
      <w:pPr>
        <w:keepNext w:val="0"/>
        <w:keepLines w:val="0"/>
        <w:pageBreakBefore w:val="0"/>
        <w:widowControl w:val="0"/>
        <w:numPr>
          <w:ilvl w:val="0"/>
          <w:numId w:val="0"/>
        </w:numPr>
        <w:kinsoku/>
        <w:wordWrap/>
        <w:overflowPunct/>
        <w:topLinePunct w:val="0"/>
        <w:autoSpaceDE/>
        <w:autoSpaceDN/>
        <w:bidi w:val="0"/>
        <w:adjustRightInd/>
        <w:snapToGrid/>
        <w:ind w:left="440" w:hanging="440" w:hangingChars="200"/>
        <w:jc w:val="center"/>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drawing>
          <wp:inline distT="0" distB="0" distL="114300" distR="114300">
            <wp:extent cx="3959860" cy="2468880"/>
            <wp:effectExtent l="0" t="0" r="2540" b="762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19"/>
                    <a:stretch>
                      <a:fillRect/>
                    </a:stretch>
                  </pic:blipFill>
                  <pic:spPr>
                    <a:xfrm>
                      <a:off x="0" y="0"/>
                      <a:ext cx="3959860" cy="2468880"/>
                    </a:xfrm>
                    <a:prstGeom prst="rect">
                      <a:avLst/>
                    </a:prstGeom>
                    <a:noFill/>
                    <a:ln>
                      <a:noFill/>
                    </a:ln>
                  </pic:spPr>
                </pic:pic>
              </a:graphicData>
            </a:graphic>
          </wp:inline>
        </w:drawing>
      </w:r>
    </w:p>
    <w:p w14:paraId="5DFD1678">
      <w:pPr>
        <w:keepNext w:val="0"/>
        <w:keepLines w:val="0"/>
        <w:pageBreakBefore w:val="0"/>
        <w:widowControl w:val="0"/>
        <w:numPr>
          <w:ilvl w:val="0"/>
          <w:numId w:val="4"/>
        </w:numPr>
        <w:kinsoku/>
        <w:wordWrap/>
        <w:overflowPunct/>
        <w:topLinePunct w:val="0"/>
        <w:autoSpaceDE/>
        <w:autoSpaceDN/>
        <w:bidi w:val="0"/>
        <w:adjustRightInd/>
        <w:snapToGrid/>
        <w:ind w:left="440" w:leftChars="0" w:hanging="440" w:hangingChars="200"/>
        <w:textAlignment w:val="auto"/>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点击灭火弹准备开关，可查看灭火弹状态由禁止起爆转换成允许起爆（飞机高度需足够）</w:t>
      </w:r>
    </w:p>
    <w:p w14:paraId="5354B728">
      <w:pPr>
        <w:keepNext w:val="0"/>
        <w:keepLines w:val="0"/>
        <w:pageBreakBefore w:val="0"/>
        <w:widowControl w:val="0"/>
        <w:numPr>
          <w:ilvl w:val="0"/>
          <w:numId w:val="0"/>
        </w:numPr>
        <w:kinsoku/>
        <w:wordWrap/>
        <w:overflowPunct/>
        <w:topLinePunct w:val="0"/>
        <w:autoSpaceDE/>
        <w:autoSpaceDN/>
        <w:bidi w:val="0"/>
        <w:adjustRightInd/>
        <w:snapToGrid/>
        <w:ind w:left="440" w:hanging="440" w:hangingChars="200"/>
        <w:jc w:val="center"/>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drawing>
          <wp:inline distT="0" distB="0" distL="114300" distR="114300">
            <wp:extent cx="3959860" cy="2479040"/>
            <wp:effectExtent l="0" t="0" r="2540" b="1651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0"/>
                    <a:stretch>
                      <a:fillRect/>
                    </a:stretch>
                  </pic:blipFill>
                  <pic:spPr>
                    <a:xfrm>
                      <a:off x="0" y="0"/>
                      <a:ext cx="3959860" cy="2479040"/>
                    </a:xfrm>
                    <a:prstGeom prst="rect">
                      <a:avLst/>
                    </a:prstGeom>
                    <a:noFill/>
                    <a:ln>
                      <a:noFill/>
                    </a:ln>
                  </pic:spPr>
                </pic:pic>
              </a:graphicData>
            </a:graphic>
          </wp:inline>
        </w:drawing>
      </w:r>
    </w:p>
    <w:p w14:paraId="048D6B24">
      <w:pPr>
        <w:keepNext w:val="0"/>
        <w:keepLines w:val="0"/>
        <w:pageBreakBefore w:val="0"/>
        <w:widowControl w:val="0"/>
        <w:numPr>
          <w:ilvl w:val="0"/>
          <w:numId w:val="4"/>
        </w:numPr>
        <w:kinsoku/>
        <w:wordWrap/>
        <w:overflowPunct/>
        <w:topLinePunct w:val="0"/>
        <w:autoSpaceDE/>
        <w:autoSpaceDN/>
        <w:bidi w:val="0"/>
        <w:adjustRightInd/>
        <w:snapToGrid/>
        <w:ind w:left="440" w:leftChars="0" w:hanging="440" w:hangingChars="200"/>
        <w:textAlignment w:val="auto"/>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点击单钩开启选择，选择需要投下的灭火弹，灭火弹编号对应抛投钩编号</w:t>
      </w:r>
    </w:p>
    <w:p w14:paraId="504FD82F">
      <w:pPr>
        <w:keepNext w:val="0"/>
        <w:keepLines w:val="0"/>
        <w:pageBreakBefore w:val="0"/>
        <w:widowControl w:val="0"/>
        <w:numPr>
          <w:ilvl w:val="0"/>
          <w:numId w:val="0"/>
        </w:numPr>
        <w:kinsoku/>
        <w:wordWrap/>
        <w:overflowPunct/>
        <w:topLinePunct w:val="0"/>
        <w:autoSpaceDE/>
        <w:autoSpaceDN/>
        <w:bidi w:val="0"/>
        <w:adjustRightInd/>
        <w:snapToGrid/>
        <w:ind w:left="440" w:hanging="440" w:hangingChars="200"/>
        <w:jc w:val="center"/>
        <w:textAlignment w:val="auto"/>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drawing>
          <wp:inline distT="0" distB="0" distL="114300" distR="114300">
            <wp:extent cx="3959860" cy="2458720"/>
            <wp:effectExtent l="0" t="0" r="2540" b="1778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21"/>
                    <a:stretch>
                      <a:fillRect/>
                    </a:stretch>
                  </pic:blipFill>
                  <pic:spPr>
                    <a:xfrm>
                      <a:off x="0" y="0"/>
                      <a:ext cx="3959860" cy="2458720"/>
                    </a:xfrm>
                    <a:prstGeom prst="rect">
                      <a:avLst/>
                    </a:prstGeom>
                    <a:noFill/>
                    <a:ln>
                      <a:noFill/>
                    </a:ln>
                  </pic:spPr>
                </pic:pic>
              </a:graphicData>
            </a:graphic>
          </wp:inline>
        </w:drawing>
      </w:r>
    </w:p>
    <w:p w14:paraId="0C394D66">
      <w:pPr>
        <w:keepNext w:val="0"/>
        <w:keepLines w:val="0"/>
        <w:pageBreakBefore w:val="0"/>
        <w:widowControl w:val="0"/>
        <w:numPr>
          <w:ilvl w:val="0"/>
          <w:numId w:val="4"/>
        </w:numPr>
        <w:kinsoku/>
        <w:wordWrap/>
        <w:overflowPunct/>
        <w:topLinePunct w:val="0"/>
        <w:autoSpaceDE/>
        <w:autoSpaceDN/>
        <w:bidi w:val="0"/>
        <w:adjustRightInd/>
        <w:snapToGrid/>
        <w:ind w:left="440" w:leftChars="0" w:hanging="440" w:hangingChars="200"/>
        <w:textAlignment w:val="auto"/>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点击抛投钩全部开启按钮可同时打开六个抛投钩，即同时投下四个灭火弹</w:t>
      </w:r>
    </w:p>
    <w:p w14:paraId="7F871B9C">
      <w:pPr>
        <w:keepNext w:val="0"/>
        <w:keepLines w:val="0"/>
        <w:pageBreakBefore w:val="0"/>
        <w:widowControl w:val="0"/>
        <w:numPr>
          <w:ilvl w:val="0"/>
          <w:numId w:val="0"/>
        </w:numPr>
        <w:kinsoku/>
        <w:wordWrap/>
        <w:overflowPunct/>
        <w:topLinePunct w:val="0"/>
        <w:autoSpaceDE/>
        <w:autoSpaceDN/>
        <w:bidi w:val="0"/>
        <w:adjustRightInd/>
        <w:snapToGrid/>
        <w:ind w:left="440" w:hanging="440" w:hangingChars="200"/>
        <w:jc w:val="center"/>
        <w:textAlignment w:val="auto"/>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drawing>
          <wp:inline distT="0" distB="0" distL="114300" distR="114300">
            <wp:extent cx="3959860" cy="2462530"/>
            <wp:effectExtent l="0" t="0" r="2540" b="1397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22"/>
                    <a:stretch>
                      <a:fillRect/>
                    </a:stretch>
                  </pic:blipFill>
                  <pic:spPr>
                    <a:xfrm>
                      <a:off x="0" y="0"/>
                      <a:ext cx="3959860" cy="2462530"/>
                    </a:xfrm>
                    <a:prstGeom prst="rect">
                      <a:avLst/>
                    </a:prstGeom>
                    <a:noFill/>
                    <a:ln>
                      <a:noFill/>
                    </a:ln>
                  </pic:spPr>
                </pic:pic>
              </a:graphicData>
            </a:graphic>
          </wp:inline>
        </w:drawing>
      </w:r>
    </w:p>
    <w:p w14:paraId="376F2F6E">
      <w:pPr>
        <w:keepNext w:val="0"/>
        <w:keepLines w:val="0"/>
        <w:pageBreakBefore w:val="0"/>
        <w:widowControl w:val="0"/>
        <w:numPr>
          <w:ilvl w:val="0"/>
          <w:numId w:val="4"/>
        </w:numPr>
        <w:kinsoku/>
        <w:wordWrap/>
        <w:overflowPunct/>
        <w:topLinePunct w:val="0"/>
        <w:autoSpaceDE/>
        <w:autoSpaceDN/>
        <w:bidi w:val="0"/>
        <w:adjustRightInd/>
        <w:snapToGrid/>
        <w:ind w:left="440" w:leftChars="0" w:hanging="440" w:hangingChars="200"/>
        <w:textAlignment w:val="auto"/>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左侧浮动消息框显示</w:t>
      </w:r>
    </w:p>
    <w:p w14:paraId="14699232">
      <w:pPr>
        <w:keepNext w:val="0"/>
        <w:keepLines w:val="0"/>
        <w:pageBreakBefore w:val="0"/>
        <w:widowControl w:val="0"/>
        <w:numPr>
          <w:ilvl w:val="0"/>
          <w:numId w:val="0"/>
        </w:numPr>
        <w:kinsoku/>
        <w:wordWrap/>
        <w:overflowPunct/>
        <w:topLinePunct w:val="0"/>
        <w:autoSpaceDE/>
        <w:autoSpaceDN/>
        <w:bidi w:val="0"/>
        <w:adjustRightInd/>
        <w:snapToGrid/>
        <w:ind w:left="0" w:firstLine="440" w:firstLine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第一段为使用灭火弹的注意事项，在使用灭火弹时推荐飞机对地高度30~59m，超过59米将无法显示对地高度，点亮灭火弹准备开关后检查灭火弹状态。</w:t>
      </w:r>
    </w:p>
    <w:p w14:paraId="07D6A0C6">
      <w:pPr>
        <w:keepNext w:val="0"/>
        <w:keepLines w:val="0"/>
        <w:pageBreakBefore w:val="0"/>
        <w:widowControl w:val="0"/>
        <w:numPr>
          <w:ilvl w:val="0"/>
          <w:numId w:val="0"/>
        </w:numPr>
        <w:kinsoku/>
        <w:wordWrap/>
        <w:overflowPunct/>
        <w:topLinePunct w:val="0"/>
        <w:autoSpaceDE/>
        <w:autoSpaceDN/>
        <w:bidi w:val="0"/>
        <w:adjustRightInd/>
        <w:snapToGrid/>
        <w:ind w:left="0" w:firstLine="440" w:firstLine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第二段为显示飞机当前对地高度，以及灭火弹被投下时距离地面的爆炸高度。</w:t>
      </w:r>
    </w:p>
    <w:p w14:paraId="5647F706">
      <w:pPr>
        <w:keepNext w:val="0"/>
        <w:keepLines w:val="0"/>
        <w:pageBreakBefore w:val="0"/>
        <w:widowControl w:val="0"/>
        <w:numPr>
          <w:ilvl w:val="0"/>
          <w:numId w:val="0"/>
        </w:numPr>
        <w:kinsoku/>
        <w:wordWrap/>
        <w:overflowPunct/>
        <w:topLinePunct w:val="0"/>
        <w:autoSpaceDE/>
        <w:autoSpaceDN/>
        <w:bidi w:val="0"/>
        <w:adjustRightInd/>
        <w:snapToGrid/>
        <w:ind w:left="0" w:firstLine="440" w:firstLineChars="200"/>
        <w:textAlignment w:val="auto"/>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第三段为显示灭火弹的状态。总共有禁止起爆、充电中、高度不足、允许起爆、未连接五种状态。</w:t>
      </w:r>
    </w:p>
    <w:p w14:paraId="3C3EB086">
      <w:pPr>
        <w:keepNext w:val="0"/>
        <w:keepLines w:val="0"/>
        <w:pageBreakBefore w:val="0"/>
        <w:widowControl w:val="0"/>
        <w:numPr>
          <w:ilvl w:val="0"/>
          <w:numId w:val="0"/>
        </w:numPr>
        <w:kinsoku/>
        <w:wordWrap/>
        <w:overflowPunct/>
        <w:topLinePunct w:val="0"/>
        <w:autoSpaceDE/>
        <w:autoSpaceDN/>
        <w:bidi w:val="0"/>
        <w:adjustRightInd/>
        <w:snapToGrid/>
        <w:ind w:left="440" w:hanging="440" w:hangingChars="200"/>
        <w:jc w:val="center"/>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drawing>
          <wp:inline distT="0" distB="0" distL="114300" distR="114300">
            <wp:extent cx="3959860" cy="2468880"/>
            <wp:effectExtent l="0" t="0" r="2540" b="762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23"/>
                    <a:stretch>
                      <a:fillRect/>
                    </a:stretch>
                  </pic:blipFill>
                  <pic:spPr>
                    <a:xfrm>
                      <a:off x="0" y="0"/>
                      <a:ext cx="3959860" cy="2468880"/>
                    </a:xfrm>
                    <a:prstGeom prst="rect">
                      <a:avLst/>
                    </a:prstGeom>
                    <a:noFill/>
                    <a:ln>
                      <a:noFill/>
                    </a:ln>
                  </pic:spPr>
                </pic:pic>
              </a:graphicData>
            </a:graphic>
          </wp:inline>
        </w:drawing>
      </w:r>
    </w:p>
    <w:p w14:paraId="37F3528B">
      <w:pPr>
        <w:numPr>
          <w:ilvl w:val="0"/>
          <w:numId w:val="4"/>
        </w:numPr>
        <w:ind w:left="440" w:leftChars="0" w:hanging="440" w:hangingChars="200"/>
        <w:jc w:val="left"/>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灭火弹引爆条件:</w:t>
      </w:r>
    </w:p>
    <w:p w14:paraId="33281BBB">
      <w:pPr>
        <w:keepNext w:val="0"/>
        <w:keepLines w:val="0"/>
        <w:pageBreakBefore w:val="0"/>
        <w:widowControl w:val="0"/>
        <w:numPr>
          <w:ilvl w:val="0"/>
          <w:numId w:val="5"/>
        </w:numPr>
        <w:kinsoku/>
        <w:wordWrap/>
        <w:overflowPunct/>
        <w:topLinePunct w:val="0"/>
        <w:autoSpaceDE/>
        <w:autoSpaceDN/>
        <w:bidi w:val="0"/>
        <w:adjustRightInd/>
        <w:snapToGrid/>
        <w:ind w:leftChars="0" w:firstLine="440" w:firstLineChars="200"/>
        <w:jc w:val="lef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安装灭火弹,连接USB航插线，将USB线和保险线进行固定(确保灭火弹掉落将USB线和保险线扯掉)</w:t>
      </w:r>
    </w:p>
    <w:p w14:paraId="1844A031">
      <w:pPr>
        <w:keepNext w:val="0"/>
        <w:keepLines w:val="0"/>
        <w:pageBreakBefore w:val="0"/>
        <w:widowControl w:val="0"/>
        <w:numPr>
          <w:ilvl w:val="0"/>
          <w:numId w:val="5"/>
        </w:numPr>
        <w:kinsoku/>
        <w:wordWrap/>
        <w:overflowPunct/>
        <w:topLinePunct w:val="0"/>
        <w:autoSpaceDE/>
        <w:autoSpaceDN/>
        <w:bidi w:val="0"/>
        <w:adjustRightInd/>
        <w:snapToGrid/>
        <w:ind w:leftChars="0" w:firstLine="440" w:firstLineChars="200"/>
        <w:jc w:val="lef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飞机飞行至投弹位置(投弹高度建议在30-59m之间),点击灭火弹准备开关</w:t>
      </w:r>
    </w:p>
    <w:p w14:paraId="1897C564">
      <w:pPr>
        <w:keepNext w:val="0"/>
        <w:keepLines w:val="0"/>
        <w:pageBreakBefore w:val="0"/>
        <w:widowControl w:val="0"/>
        <w:numPr>
          <w:ilvl w:val="0"/>
          <w:numId w:val="5"/>
        </w:numPr>
        <w:kinsoku/>
        <w:wordWrap/>
        <w:overflowPunct/>
        <w:topLinePunct w:val="0"/>
        <w:autoSpaceDE/>
        <w:autoSpaceDN/>
        <w:bidi w:val="0"/>
        <w:adjustRightInd/>
        <w:snapToGrid/>
        <w:ind w:leftChars="0" w:firstLine="440" w:firstLineChars="200"/>
        <w:jc w:val="lef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观察状态栏，灭火弹状态显示允许起爆，即可投弹</w:t>
      </w:r>
    </w:p>
    <w:p w14:paraId="7EAAA804">
      <w:pPr>
        <w:keepNext w:val="0"/>
        <w:keepLines w:val="0"/>
        <w:pageBreakBefore w:val="0"/>
        <w:widowControl w:val="0"/>
        <w:numPr>
          <w:ilvl w:val="0"/>
          <w:numId w:val="0"/>
        </w:numPr>
        <w:kinsoku/>
        <w:wordWrap/>
        <w:overflowPunct/>
        <w:topLinePunct w:val="0"/>
        <w:autoSpaceDE/>
        <w:autoSpaceDN/>
        <w:bidi w:val="0"/>
        <w:adjustRightInd/>
        <w:snapToGrid/>
        <w:ind w:leftChars="0" w:firstLine="440" w:firstLineChars="200"/>
        <w:jc w:val="lef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引爆原理:</w:t>
      </w:r>
    </w:p>
    <w:p w14:paraId="7ABF24CE">
      <w:pPr>
        <w:keepNext w:val="0"/>
        <w:keepLines w:val="0"/>
        <w:pageBreakBefore w:val="0"/>
        <w:widowControl w:val="0"/>
        <w:numPr>
          <w:ilvl w:val="0"/>
          <w:numId w:val="6"/>
        </w:numPr>
        <w:kinsoku/>
        <w:wordWrap/>
        <w:overflowPunct/>
        <w:topLinePunct w:val="0"/>
        <w:autoSpaceDE/>
        <w:autoSpaceDN/>
        <w:bidi w:val="0"/>
        <w:adjustRightInd/>
        <w:snapToGrid/>
        <w:ind w:leftChars="0" w:firstLine="440" w:firstLineChars="200"/>
        <w:jc w:val="lef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保险不拔灭火弹无法被引爆(运输，测试需要保证保险安装到位)</w:t>
      </w:r>
    </w:p>
    <w:p w14:paraId="741B388E">
      <w:pPr>
        <w:keepNext w:val="0"/>
        <w:keepLines w:val="0"/>
        <w:pageBreakBefore w:val="0"/>
        <w:widowControl w:val="0"/>
        <w:numPr>
          <w:ilvl w:val="0"/>
          <w:numId w:val="6"/>
        </w:numPr>
        <w:kinsoku/>
        <w:wordWrap/>
        <w:overflowPunct/>
        <w:topLinePunct w:val="0"/>
        <w:autoSpaceDE/>
        <w:autoSpaceDN/>
        <w:bidi w:val="0"/>
        <w:adjustRightInd/>
        <w:snapToGrid/>
        <w:ind w:leftChars="0" w:firstLine="440" w:firstLineChars="200"/>
        <w:jc w:val="lef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抛投器识别高度并实时计算倒计时传输至灭火弹</w:t>
      </w:r>
    </w:p>
    <w:p w14:paraId="237A6214">
      <w:pPr>
        <w:keepNext w:val="0"/>
        <w:keepLines w:val="0"/>
        <w:pageBreakBefore w:val="0"/>
        <w:widowControl w:val="0"/>
        <w:numPr>
          <w:ilvl w:val="0"/>
          <w:numId w:val="6"/>
        </w:numPr>
        <w:kinsoku/>
        <w:wordWrap/>
        <w:overflowPunct/>
        <w:topLinePunct w:val="0"/>
        <w:autoSpaceDE/>
        <w:autoSpaceDN/>
        <w:bidi w:val="0"/>
        <w:adjustRightInd/>
        <w:snapToGrid/>
        <w:ind w:leftChars="0" w:firstLine="440" w:firstLineChars="200"/>
        <w:jc w:val="lef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USB线被扯掉灭火弹开始倒计时</w:t>
      </w:r>
      <w:bookmarkStart w:id="8" w:name="_GoBack"/>
      <w:bookmarkEnd w:id="8"/>
    </w:p>
    <w:p w14:paraId="2AC39F3B">
      <w:pPr>
        <w:keepNext w:val="0"/>
        <w:keepLines w:val="0"/>
        <w:pageBreakBefore w:val="0"/>
        <w:widowControl w:val="0"/>
        <w:numPr>
          <w:ilvl w:val="0"/>
          <w:numId w:val="0"/>
        </w:numPr>
        <w:kinsoku/>
        <w:wordWrap/>
        <w:overflowPunct/>
        <w:topLinePunct w:val="0"/>
        <w:autoSpaceDE/>
        <w:autoSpaceDN/>
        <w:bidi w:val="0"/>
        <w:adjustRightInd/>
        <w:snapToGrid/>
        <w:ind w:left="440" w:hanging="440" w:hangingChars="200"/>
        <w:jc w:val="center"/>
        <w:textAlignment w:val="auto"/>
        <w:rPr>
          <w:rFonts w:hint="default" w:ascii="微软雅黑" w:hAnsi="微软雅黑" w:eastAsia="微软雅黑" w:cs="微软雅黑"/>
          <w:sz w:val="22"/>
          <w:szCs w:val="22"/>
          <w:lang w:val="en-US" w:eastAsia="zh-CN"/>
        </w:rPr>
      </w:pPr>
    </w:p>
    <w:p w14:paraId="5C6AA0F8">
      <w:pPr>
        <w:pStyle w:val="3"/>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pPr>
      <w:bookmarkStart w:id="6" w:name="_Toc22116"/>
      <w:r>
        <w:rPr>
          <w:rFonts w:hint="eastAsia"/>
          <w:lang w:val="en-US" w:eastAsia="zh-CN"/>
        </w:rPr>
        <w:t>免责声明与警告</w:t>
      </w:r>
      <w:bookmarkEnd w:id="6"/>
    </w:p>
    <w:p w14:paraId="4C20E549">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0" w:leftChars="0" w:right="7" w:firstLine="0" w:firstLineChars="0"/>
        <w:textAlignment w:val="auto"/>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感谢您购买</w:t>
      </w:r>
      <w:r>
        <w:rPr>
          <w:rFonts w:hint="eastAsia" w:ascii="微软雅黑" w:hAnsi="微软雅黑" w:eastAsia="微软雅黑" w:cs="微软雅黑"/>
          <w:color w:val="231F20"/>
          <w:spacing w:val="-2"/>
          <w:sz w:val="22"/>
          <w:szCs w:val="22"/>
          <w:lang w:val="en-US" w:eastAsia="zh-CN"/>
        </w:rPr>
        <w:t>本</w:t>
      </w:r>
      <w:r>
        <w:rPr>
          <w:rFonts w:ascii="微软雅黑" w:hAnsi="微软雅黑" w:eastAsia="微软雅黑" w:cs="微软雅黑"/>
          <w:color w:val="231F20"/>
          <w:spacing w:val="-2"/>
          <w:sz w:val="22"/>
          <w:szCs w:val="22"/>
        </w:rPr>
        <w:t>产品。本文所提及的内容关系到您的安全以及</w:t>
      </w:r>
      <w:r>
        <w:rPr>
          <w:rFonts w:ascii="微软雅黑" w:hAnsi="微软雅黑" w:eastAsia="微软雅黑" w:cs="微软雅黑"/>
          <w:color w:val="231F20"/>
          <w:spacing w:val="2"/>
          <w:sz w:val="22"/>
          <w:szCs w:val="22"/>
        </w:rPr>
        <w:t>合法权益与责任。</w:t>
      </w:r>
      <w:r>
        <w:rPr>
          <w:rFonts w:hint="eastAsia" w:ascii="微软雅黑" w:hAnsi="微软雅黑" w:eastAsia="微软雅黑" w:cs="微软雅黑"/>
          <w:sz w:val="22"/>
          <w:szCs w:val="22"/>
          <w:lang w:val="en-US" w:eastAsia="zh-CN"/>
        </w:rPr>
        <w:t>使用本产品之前，请仔细阅读本文以确保已对产品进行正确的设置。不遵循本文的说明与警告进行操作可能会给您和他人造成伤害</w:t>
      </w:r>
      <w:r>
        <w:rPr>
          <w:rFonts w:ascii="微软雅黑" w:hAnsi="微软雅黑" w:eastAsia="微软雅黑" w:cs="微软雅黑"/>
          <w:color w:val="231F20"/>
          <w:spacing w:val="-1"/>
          <w:sz w:val="22"/>
          <w:szCs w:val="22"/>
        </w:rPr>
        <w:t>，损坏本产品或其它周围的物品。本文档及所有</w:t>
      </w:r>
      <w:r>
        <w:rPr>
          <w:rFonts w:ascii="微软雅黑" w:hAnsi="微软雅黑" w:eastAsia="微软雅黑" w:cs="微软雅黑"/>
          <w:color w:val="231F20"/>
          <w:spacing w:val="-5"/>
          <w:sz w:val="22"/>
          <w:szCs w:val="22"/>
        </w:rPr>
        <w:t>相关的文档最终解释权归</w:t>
      </w:r>
      <w:r>
        <w:rPr>
          <w:rFonts w:hint="eastAsia" w:ascii="微软雅黑" w:hAnsi="微软雅黑" w:eastAsia="微软雅黑" w:cs="微软雅黑"/>
          <w:color w:val="231F20"/>
          <w:spacing w:val="-5"/>
          <w:sz w:val="22"/>
          <w:szCs w:val="22"/>
          <w:lang w:val="en-US" w:eastAsia="zh-CN"/>
        </w:rPr>
        <w:t>疆之载</w:t>
      </w:r>
      <w:r>
        <w:rPr>
          <w:rFonts w:ascii="微软雅黑" w:hAnsi="微软雅黑" w:eastAsia="微软雅黑" w:cs="微软雅黑"/>
          <w:color w:val="231F20"/>
          <w:spacing w:val="-5"/>
          <w:sz w:val="22"/>
          <w:szCs w:val="22"/>
        </w:rPr>
        <w:t>所有</w:t>
      </w:r>
      <w:r>
        <w:rPr>
          <w:rFonts w:ascii="微软雅黑" w:hAnsi="微软雅黑" w:eastAsia="微软雅黑" w:cs="微软雅黑"/>
          <w:color w:val="231F20"/>
          <w:spacing w:val="6"/>
          <w:sz w:val="22"/>
          <w:szCs w:val="22"/>
        </w:rPr>
        <w:t>。</w:t>
      </w:r>
    </w:p>
    <w:p w14:paraId="77158CC7">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0" w:leftChars="0" w:right="7" w:firstLine="0" w:firstLineChars="0"/>
        <w:textAlignment w:val="auto"/>
        <w:rPr>
          <w:rFonts w:ascii="微软雅黑" w:hAnsi="微软雅黑" w:eastAsia="微软雅黑" w:cs="微软雅黑"/>
          <w:sz w:val="22"/>
          <w:szCs w:val="22"/>
        </w:rPr>
      </w:pPr>
      <w:r>
        <w:rPr>
          <w:rFonts w:ascii="微软雅黑" w:hAnsi="微软雅黑" w:eastAsia="微软雅黑" w:cs="微软雅黑"/>
          <w:color w:val="231F20"/>
          <w:spacing w:val="-8"/>
          <w:sz w:val="22"/>
          <w:szCs w:val="22"/>
        </w:rPr>
        <w:t>产品如遇硬件问题，请联系售后服务，切勿自行拆卸维修</w:t>
      </w:r>
      <w:r>
        <w:rPr>
          <w:rFonts w:ascii="微软雅黑" w:hAnsi="微软雅黑" w:eastAsia="微软雅黑" w:cs="微软雅黑"/>
          <w:color w:val="231F20"/>
          <w:spacing w:val="-9"/>
          <w:sz w:val="22"/>
          <w:szCs w:val="22"/>
        </w:rPr>
        <w:t>，否则</w:t>
      </w:r>
      <w:r>
        <w:rPr>
          <w:rFonts w:ascii="微软雅黑" w:hAnsi="微软雅黑" w:eastAsia="微软雅黑" w:cs="微软雅黑"/>
          <w:color w:val="231F20"/>
          <w:spacing w:val="-6"/>
          <w:sz w:val="22"/>
          <w:szCs w:val="22"/>
        </w:rPr>
        <w:t>将失去保修、维修资格。</w:t>
      </w:r>
    </w:p>
    <w:p w14:paraId="463AFF8C">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0" w:leftChars="0" w:right="7" w:firstLine="0" w:firstLineChars="0"/>
        <w:textAlignment w:val="auto"/>
        <w:rPr>
          <w:rFonts w:ascii="微软雅黑" w:hAnsi="微软雅黑" w:eastAsia="微软雅黑" w:cs="微软雅黑"/>
          <w:color w:val="231F20"/>
          <w:spacing w:val="-2"/>
          <w:sz w:val="22"/>
          <w:szCs w:val="22"/>
        </w:rPr>
      </w:pPr>
      <w:r>
        <w:rPr>
          <w:rFonts w:ascii="微软雅黑" w:hAnsi="微软雅黑" w:eastAsia="微软雅黑" w:cs="微软雅黑"/>
          <w:color w:val="231F20"/>
          <w:spacing w:val="-2"/>
          <w:sz w:val="22"/>
          <w:szCs w:val="22"/>
        </w:rPr>
        <w:t>严禁在人员密集区、易爆环境或超出设备设</w:t>
      </w:r>
      <w:r>
        <w:rPr>
          <w:rFonts w:ascii="微软雅黑" w:hAnsi="微软雅黑" w:eastAsia="微软雅黑" w:cs="微软雅黑"/>
          <w:color w:val="231F20"/>
          <w:spacing w:val="-3"/>
          <w:sz w:val="22"/>
          <w:szCs w:val="22"/>
        </w:rPr>
        <w:t>计能力的情况下使用。</w:t>
      </w:r>
      <w:r>
        <w:rPr>
          <w:rFonts w:ascii="微软雅黑" w:hAnsi="微软雅黑" w:eastAsia="微软雅黑" w:cs="微软雅黑"/>
          <w:color w:val="231F20"/>
          <w:spacing w:val="-1"/>
          <w:sz w:val="22"/>
          <w:szCs w:val="22"/>
        </w:rPr>
        <w:t>因环境误判导致的损失，责任由使用者自负。</w:t>
      </w:r>
    </w:p>
    <w:p w14:paraId="7BAFCE41">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0" w:leftChars="0" w:right="7" w:firstLine="0" w:firstLineChars="0"/>
        <w:textAlignment w:val="auto"/>
        <w:rPr>
          <w:rFonts w:ascii="微软雅黑" w:hAnsi="微软雅黑" w:eastAsia="微软雅黑" w:cs="微软雅黑"/>
          <w:color w:val="231F20"/>
          <w:spacing w:val="-2"/>
          <w:sz w:val="22"/>
          <w:szCs w:val="22"/>
        </w:rPr>
      </w:pPr>
      <w:r>
        <w:rPr>
          <w:rFonts w:ascii="微软雅黑" w:hAnsi="微软雅黑" w:eastAsia="微软雅黑" w:cs="微软雅黑"/>
          <w:color w:val="231F20"/>
          <w:spacing w:val="-5"/>
          <w:sz w:val="22"/>
          <w:szCs w:val="22"/>
        </w:rPr>
        <w:t>本设备必须通电才能使用，需由经过专业培训的人员操作，使用者</w:t>
      </w:r>
      <w:r>
        <w:rPr>
          <w:rFonts w:ascii="微软雅黑" w:hAnsi="微软雅黑" w:eastAsia="微软雅黑" w:cs="微软雅黑"/>
          <w:color w:val="231F20"/>
          <w:spacing w:val="3"/>
          <w:sz w:val="22"/>
          <w:szCs w:val="22"/>
        </w:rPr>
        <w:t>需自行承担因操作不当、误判环境或违反安全</w:t>
      </w:r>
      <w:r>
        <w:rPr>
          <w:rFonts w:ascii="微软雅黑" w:hAnsi="微软雅黑" w:eastAsia="微软雅黑" w:cs="微软雅黑"/>
          <w:color w:val="231F20"/>
          <w:spacing w:val="2"/>
          <w:sz w:val="22"/>
          <w:szCs w:val="22"/>
        </w:rPr>
        <w:t>规程导致的直接或间接</w:t>
      </w:r>
      <w:r>
        <w:rPr>
          <w:rFonts w:ascii="微软雅黑" w:hAnsi="微软雅黑" w:eastAsia="微软雅黑" w:cs="微软雅黑"/>
          <w:color w:val="231F20"/>
          <w:spacing w:val="-2"/>
          <w:sz w:val="22"/>
          <w:szCs w:val="22"/>
        </w:rPr>
        <w:t>后果，制造商不承担任何法律责任。</w:t>
      </w:r>
    </w:p>
    <w:p w14:paraId="59135BEE">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0" w:leftChars="0" w:right="7" w:firstLine="0" w:firstLineChars="0"/>
        <w:textAlignment w:val="auto"/>
        <w:rPr>
          <w:rFonts w:ascii="微软雅黑" w:hAnsi="微软雅黑" w:eastAsia="微软雅黑" w:cs="微软雅黑"/>
          <w:color w:val="231F20"/>
          <w:spacing w:val="-5"/>
          <w:sz w:val="22"/>
          <w:szCs w:val="22"/>
        </w:rPr>
      </w:pPr>
      <w:r>
        <w:rPr>
          <w:rFonts w:hint="eastAsia" w:ascii="微软雅黑" w:hAnsi="微软雅黑" w:eastAsia="微软雅黑" w:cs="微软雅黑"/>
          <w:color w:val="231F20"/>
          <w:spacing w:val="-5"/>
          <w:sz w:val="22"/>
          <w:szCs w:val="22"/>
          <w:lang w:val="en-US" w:eastAsia="zh-CN"/>
        </w:rPr>
        <w:t>该产品安装后，请确认是否正确连接，无松动。保障高空作业安全。</w:t>
      </w:r>
    </w:p>
    <w:p w14:paraId="48BE6DFE">
      <w:pPr>
        <w:pStyle w:val="3"/>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lang w:val="en-US" w:eastAsia="zh-CN"/>
        </w:rPr>
      </w:pPr>
      <w:bookmarkStart w:id="7" w:name="_Toc10298"/>
      <w:r>
        <w:rPr>
          <w:rFonts w:hint="eastAsia"/>
          <w:lang w:val="en-US" w:eastAsia="zh-CN"/>
        </w:rPr>
        <w:t>保修条款</w:t>
      </w:r>
      <w:bookmarkEnd w:id="7"/>
    </w:p>
    <w:p w14:paraId="0ED3BDC7">
      <w:pPr>
        <w:keepNext w:val="0"/>
        <w:keepLines w:val="0"/>
        <w:pageBreakBefore w:val="0"/>
        <w:widowControl w:val="0"/>
        <w:numPr>
          <w:ilvl w:val="1"/>
          <w:numId w:val="7"/>
        </w:numPr>
        <w:kinsoku/>
        <w:wordWrap/>
        <w:overflowPunct/>
        <w:topLinePunct w:val="0"/>
        <w:autoSpaceDE/>
        <w:autoSpaceDN/>
        <w:bidi w:val="0"/>
        <w:adjustRightInd/>
        <w:snapToGrid/>
        <w:spacing w:line="360" w:lineRule="auto"/>
        <w:ind w:left="0" w:leftChars="0" w:right="119" w:firstLine="0" w:firstLineChars="0"/>
        <w:textAlignment w:val="auto"/>
        <w:rPr>
          <w:rFonts w:hint="default" w:ascii="微软雅黑" w:hAnsi="微软雅黑" w:eastAsia="微软雅黑" w:cs="微软雅黑"/>
          <w:color w:val="231F20"/>
          <w:spacing w:val="-5"/>
          <w:sz w:val="22"/>
          <w:szCs w:val="22"/>
          <w:lang w:val="en-US" w:eastAsia="zh-CN"/>
        </w:rPr>
      </w:pPr>
      <w:r>
        <w:rPr>
          <w:rFonts w:hint="default" w:ascii="微软雅黑" w:hAnsi="微软雅黑" w:eastAsia="微软雅黑" w:cs="微软雅黑"/>
          <w:color w:val="231F20"/>
          <w:spacing w:val="-5"/>
          <w:sz w:val="22"/>
          <w:szCs w:val="22"/>
          <w:lang w:val="en-US" w:eastAsia="zh-CN"/>
        </w:rPr>
        <w:t>本产品自购买日起，享受一年内免费维修服务;</w:t>
      </w:r>
    </w:p>
    <w:p w14:paraId="75C546D3">
      <w:pPr>
        <w:keepNext w:val="0"/>
        <w:keepLines w:val="0"/>
        <w:pageBreakBefore w:val="0"/>
        <w:widowControl w:val="0"/>
        <w:numPr>
          <w:ilvl w:val="1"/>
          <w:numId w:val="7"/>
        </w:numPr>
        <w:kinsoku/>
        <w:wordWrap/>
        <w:overflowPunct/>
        <w:topLinePunct w:val="0"/>
        <w:autoSpaceDE/>
        <w:autoSpaceDN/>
        <w:bidi w:val="0"/>
        <w:adjustRightInd/>
        <w:snapToGrid/>
        <w:spacing w:line="360" w:lineRule="auto"/>
        <w:ind w:left="0" w:leftChars="0" w:right="119" w:firstLine="0" w:firstLineChars="0"/>
        <w:textAlignment w:val="auto"/>
        <w:rPr>
          <w:rFonts w:hint="default" w:ascii="微软雅黑" w:hAnsi="微软雅黑" w:eastAsia="微软雅黑" w:cs="微软雅黑"/>
          <w:color w:val="231F20"/>
          <w:spacing w:val="-5"/>
          <w:sz w:val="22"/>
          <w:szCs w:val="22"/>
          <w:lang w:val="en-US" w:eastAsia="zh-CN"/>
        </w:rPr>
      </w:pPr>
      <w:r>
        <w:rPr>
          <w:rFonts w:hint="default" w:ascii="微软雅黑" w:hAnsi="微软雅黑" w:eastAsia="微软雅黑" w:cs="微软雅黑"/>
          <w:color w:val="231F20"/>
          <w:spacing w:val="-5"/>
          <w:sz w:val="22"/>
          <w:szCs w:val="22"/>
          <w:lang w:val="en-US" w:eastAsia="zh-CN"/>
        </w:rPr>
        <w:t>对于以下原因导致的产品故障不属于免费保修范围:</w:t>
      </w:r>
    </w:p>
    <w:p w14:paraId="6D0D9EA8">
      <w:pPr>
        <w:keepNext w:val="0"/>
        <w:keepLines w:val="0"/>
        <w:pageBreakBefore w:val="0"/>
        <w:widowControl w:val="0"/>
        <w:numPr>
          <w:ilvl w:val="2"/>
          <w:numId w:val="7"/>
        </w:numPr>
        <w:kinsoku/>
        <w:wordWrap/>
        <w:overflowPunct/>
        <w:topLinePunct w:val="0"/>
        <w:autoSpaceDE/>
        <w:autoSpaceDN/>
        <w:bidi w:val="0"/>
        <w:adjustRightInd/>
        <w:snapToGrid/>
        <w:spacing w:line="360" w:lineRule="auto"/>
        <w:ind w:left="0" w:leftChars="0" w:right="119" w:firstLine="0" w:firstLineChars="0"/>
        <w:textAlignment w:val="auto"/>
        <w:rPr>
          <w:rFonts w:hint="default" w:ascii="微软雅黑" w:hAnsi="微软雅黑" w:eastAsia="微软雅黑" w:cs="微软雅黑"/>
          <w:color w:val="231F20"/>
          <w:spacing w:val="-5"/>
          <w:sz w:val="22"/>
          <w:szCs w:val="22"/>
          <w:lang w:val="en-US" w:eastAsia="zh-CN"/>
        </w:rPr>
      </w:pPr>
      <w:r>
        <w:rPr>
          <w:rFonts w:hint="default" w:ascii="微软雅黑" w:hAnsi="微软雅黑" w:eastAsia="微软雅黑" w:cs="微软雅黑"/>
          <w:color w:val="231F20"/>
          <w:spacing w:val="-5"/>
          <w:sz w:val="22"/>
          <w:szCs w:val="22"/>
          <w:lang w:val="en-US" w:eastAsia="zh-CN"/>
        </w:rPr>
        <w:t>人为原因导致的产品故障</w:t>
      </w:r>
    </w:p>
    <w:p w14:paraId="4B15E3B0">
      <w:pPr>
        <w:keepNext w:val="0"/>
        <w:keepLines w:val="0"/>
        <w:pageBreakBefore w:val="0"/>
        <w:widowControl w:val="0"/>
        <w:numPr>
          <w:ilvl w:val="2"/>
          <w:numId w:val="7"/>
        </w:numPr>
        <w:kinsoku/>
        <w:wordWrap/>
        <w:overflowPunct/>
        <w:topLinePunct w:val="0"/>
        <w:autoSpaceDE/>
        <w:autoSpaceDN/>
        <w:bidi w:val="0"/>
        <w:adjustRightInd/>
        <w:snapToGrid/>
        <w:spacing w:line="360" w:lineRule="auto"/>
        <w:ind w:left="0" w:leftChars="0" w:right="119" w:firstLine="0" w:firstLineChars="0"/>
        <w:textAlignment w:val="auto"/>
        <w:rPr>
          <w:rFonts w:hint="default" w:ascii="微软雅黑" w:hAnsi="微软雅黑" w:eastAsia="微软雅黑" w:cs="微软雅黑"/>
          <w:color w:val="231F20"/>
          <w:spacing w:val="-5"/>
          <w:sz w:val="22"/>
          <w:szCs w:val="22"/>
          <w:lang w:val="en-US" w:eastAsia="zh-CN"/>
        </w:rPr>
      </w:pPr>
      <w:r>
        <w:rPr>
          <w:rFonts w:hint="default" w:ascii="微软雅黑" w:hAnsi="微软雅黑" w:eastAsia="微软雅黑" w:cs="微软雅黑"/>
          <w:color w:val="231F20"/>
          <w:spacing w:val="-5"/>
          <w:sz w:val="22"/>
          <w:szCs w:val="22"/>
          <w:lang w:val="en-US" w:eastAsia="zh-CN"/>
        </w:rPr>
        <w:t>不可抗力:如地震、火灾等自然灾害造成的产品故障</w:t>
      </w:r>
    </w:p>
    <w:p w14:paraId="769D2841">
      <w:pPr>
        <w:keepNext w:val="0"/>
        <w:keepLines w:val="0"/>
        <w:pageBreakBefore w:val="0"/>
        <w:widowControl w:val="0"/>
        <w:numPr>
          <w:ilvl w:val="2"/>
          <w:numId w:val="7"/>
        </w:numPr>
        <w:kinsoku/>
        <w:wordWrap/>
        <w:overflowPunct/>
        <w:topLinePunct w:val="0"/>
        <w:autoSpaceDE/>
        <w:autoSpaceDN/>
        <w:bidi w:val="0"/>
        <w:adjustRightInd/>
        <w:snapToGrid/>
        <w:spacing w:line="360" w:lineRule="auto"/>
        <w:ind w:left="0" w:leftChars="0" w:right="119" w:firstLine="0" w:firstLineChars="0"/>
        <w:textAlignment w:val="auto"/>
        <w:rPr>
          <w:rFonts w:hint="default" w:ascii="微软雅黑" w:hAnsi="微软雅黑" w:eastAsia="微软雅黑" w:cs="微软雅黑"/>
          <w:color w:val="231F20"/>
          <w:spacing w:val="-5"/>
          <w:sz w:val="22"/>
          <w:szCs w:val="22"/>
          <w:lang w:val="en-US" w:eastAsia="zh-CN"/>
        </w:rPr>
      </w:pPr>
      <w:r>
        <w:rPr>
          <w:rFonts w:hint="default" w:ascii="微软雅黑" w:hAnsi="微软雅黑" w:eastAsia="微软雅黑" w:cs="微软雅黑"/>
          <w:color w:val="231F20"/>
          <w:spacing w:val="-5"/>
          <w:sz w:val="22"/>
          <w:szCs w:val="22"/>
          <w:lang w:val="en-US" w:eastAsia="zh-CN"/>
        </w:rPr>
        <w:t>自行拆装、修理造成的产品故障</w:t>
      </w:r>
    </w:p>
    <w:p w14:paraId="0C9E630C">
      <w:pPr>
        <w:keepNext w:val="0"/>
        <w:keepLines w:val="0"/>
        <w:pageBreakBefore w:val="0"/>
        <w:widowControl w:val="0"/>
        <w:numPr>
          <w:ilvl w:val="2"/>
          <w:numId w:val="7"/>
        </w:numPr>
        <w:kinsoku/>
        <w:wordWrap/>
        <w:overflowPunct/>
        <w:topLinePunct w:val="0"/>
        <w:autoSpaceDE/>
        <w:autoSpaceDN/>
        <w:bidi w:val="0"/>
        <w:adjustRightInd/>
        <w:snapToGrid/>
        <w:spacing w:line="360" w:lineRule="auto"/>
        <w:ind w:left="0" w:leftChars="0" w:right="119" w:firstLine="0" w:firstLineChars="0"/>
        <w:textAlignment w:val="auto"/>
        <w:rPr>
          <w:rFonts w:hint="default" w:ascii="微软雅黑" w:hAnsi="微软雅黑" w:eastAsia="微软雅黑" w:cs="微软雅黑"/>
          <w:color w:val="231F20"/>
          <w:spacing w:val="-5"/>
          <w:sz w:val="22"/>
          <w:szCs w:val="22"/>
          <w:lang w:val="en-US" w:eastAsia="zh-CN"/>
        </w:rPr>
      </w:pPr>
      <w:r>
        <w:rPr>
          <w:rFonts w:hint="default" w:ascii="微软雅黑" w:hAnsi="微软雅黑" w:eastAsia="微软雅黑" w:cs="微软雅黑"/>
          <w:color w:val="231F20"/>
          <w:spacing w:val="-5"/>
          <w:sz w:val="22"/>
          <w:szCs w:val="22"/>
          <w:lang w:val="en-US" w:eastAsia="zh-CN"/>
        </w:rPr>
        <w:t>返修时因未采用原包装导致的运输损伤</w:t>
      </w:r>
    </w:p>
    <w:p w14:paraId="704A18FB">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2"/>
          <w:szCs w:val="22"/>
          <w:lang w:val="en-US" w:eastAsia="zh-CN"/>
        </w:rPr>
      </w:pPr>
    </w:p>
    <w:tbl>
      <w:tblPr>
        <w:tblStyle w:val="11"/>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1"/>
        <w:gridCol w:w="2141"/>
        <w:gridCol w:w="2145"/>
        <w:gridCol w:w="2153"/>
      </w:tblGrid>
      <w:tr w14:paraId="60D4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580" w:type="dxa"/>
            <w:gridSpan w:val="4"/>
          </w:tcPr>
          <w:p w14:paraId="112A8A83">
            <w:pPr>
              <w:keepNext w:val="0"/>
              <w:keepLines w:val="0"/>
              <w:pageBreakBefore w:val="0"/>
              <w:widowControl w:val="0"/>
              <w:numPr>
                <w:ilvl w:val="0"/>
                <w:numId w:val="0"/>
              </w:numPr>
              <w:tabs>
                <w:tab w:val="left" w:pos="2978"/>
              </w:tabs>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产品保修卡</w:t>
            </w:r>
          </w:p>
        </w:tc>
      </w:tr>
      <w:tr w14:paraId="3A9F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141" w:type="dxa"/>
          </w:tcPr>
          <w:p w14:paraId="653CA76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产品名称</w:t>
            </w:r>
          </w:p>
        </w:tc>
        <w:tc>
          <w:tcPr>
            <w:tcW w:w="2141" w:type="dxa"/>
          </w:tcPr>
          <w:p w14:paraId="08CF112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p>
        </w:tc>
        <w:tc>
          <w:tcPr>
            <w:tcW w:w="2145" w:type="dxa"/>
          </w:tcPr>
          <w:p w14:paraId="515ED80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产品型号</w:t>
            </w:r>
          </w:p>
        </w:tc>
        <w:tc>
          <w:tcPr>
            <w:tcW w:w="2153" w:type="dxa"/>
          </w:tcPr>
          <w:p w14:paraId="0654E9E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p>
        </w:tc>
      </w:tr>
      <w:tr w14:paraId="16C2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141" w:type="dxa"/>
          </w:tcPr>
          <w:p w14:paraId="5CB08D2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购买单位或个人</w:t>
            </w:r>
          </w:p>
        </w:tc>
        <w:tc>
          <w:tcPr>
            <w:tcW w:w="2141" w:type="dxa"/>
          </w:tcPr>
          <w:p w14:paraId="2FCEEB1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p>
        </w:tc>
        <w:tc>
          <w:tcPr>
            <w:tcW w:w="2145" w:type="dxa"/>
          </w:tcPr>
          <w:p w14:paraId="2F371D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联系电话</w:t>
            </w:r>
          </w:p>
        </w:tc>
        <w:tc>
          <w:tcPr>
            <w:tcW w:w="2153" w:type="dxa"/>
          </w:tcPr>
          <w:p w14:paraId="66CB6B9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p>
        </w:tc>
      </w:tr>
      <w:tr w14:paraId="107A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141" w:type="dxa"/>
          </w:tcPr>
          <w:p w14:paraId="0332B95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购买日期</w:t>
            </w:r>
          </w:p>
        </w:tc>
        <w:tc>
          <w:tcPr>
            <w:tcW w:w="2141" w:type="dxa"/>
          </w:tcPr>
          <w:p w14:paraId="651E7A7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p>
        </w:tc>
        <w:tc>
          <w:tcPr>
            <w:tcW w:w="2145" w:type="dxa"/>
          </w:tcPr>
          <w:p w14:paraId="3E95A78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p>
        </w:tc>
        <w:tc>
          <w:tcPr>
            <w:tcW w:w="2153" w:type="dxa"/>
          </w:tcPr>
          <w:p w14:paraId="4D11B0B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p>
        </w:tc>
      </w:tr>
      <w:tr w14:paraId="26FD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8580" w:type="dxa"/>
            <w:gridSpan w:val="4"/>
          </w:tcPr>
          <w:p w14:paraId="5FBFF8B9">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故障描述：</w:t>
            </w:r>
          </w:p>
        </w:tc>
      </w:tr>
    </w:tbl>
    <w:p w14:paraId="24637B96">
      <w:pPr>
        <w:keepNext w:val="0"/>
        <w:keepLines w:val="0"/>
        <w:pageBreakBefore w:val="0"/>
        <w:widowControl w:val="0"/>
        <w:kinsoku/>
        <w:wordWrap/>
        <w:overflowPunct/>
        <w:topLinePunct w:val="0"/>
        <w:autoSpaceDE/>
        <w:autoSpaceDN/>
        <w:bidi w:val="0"/>
        <w:adjustRightInd/>
        <w:snapToGrid/>
        <w:spacing w:line="360" w:lineRule="auto"/>
        <w:ind w:right="120"/>
        <w:textAlignment w:val="auto"/>
        <w:rPr>
          <w:rFonts w:hint="default" w:ascii="微软雅黑" w:hAnsi="微软雅黑" w:eastAsia="微软雅黑" w:cs="微软雅黑"/>
          <w:color w:val="231F20"/>
          <w:spacing w:val="-5"/>
          <w:sz w:val="22"/>
          <w:szCs w:val="22"/>
          <w:lang w:val="en-US" w:eastAsia="zh-CN"/>
        </w:rPr>
      </w:pPr>
      <w:r>
        <w:rPr>
          <w:rFonts w:hint="default" w:ascii="微软雅黑" w:hAnsi="微软雅黑" w:eastAsia="微软雅黑" w:cs="微软雅黑"/>
          <w:color w:val="231F20"/>
          <w:spacing w:val="-5"/>
          <w:sz w:val="22"/>
          <w:szCs w:val="22"/>
          <w:lang w:val="en-US" w:eastAsia="zh-CN"/>
        </w:rPr>
        <w:t>公司名称</w:t>
      </w:r>
      <w:r>
        <w:rPr>
          <w:rFonts w:hint="eastAsia" w:ascii="微软雅黑" w:hAnsi="微软雅黑" w:eastAsia="微软雅黑" w:cs="微软雅黑"/>
          <w:color w:val="231F20"/>
          <w:spacing w:val="-5"/>
          <w:sz w:val="22"/>
          <w:szCs w:val="22"/>
          <w:lang w:val="en-US" w:eastAsia="zh-CN"/>
        </w:rPr>
        <w:t>：</w:t>
      </w:r>
      <w:r>
        <w:rPr>
          <w:rFonts w:hint="default" w:ascii="微软雅黑" w:hAnsi="微软雅黑" w:eastAsia="微软雅黑" w:cs="微软雅黑"/>
          <w:color w:val="231F20"/>
          <w:spacing w:val="-5"/>
          <w:sz w:val="22"/>
          <w:szCs w:val="22"/>
          <w:lang w:val="en-US" w:eastAsia="zh-CN"/>
        </w:rPr>
        <w:t>深圳疆之载创新科技有限公司公司</w:t>
      </w:r>
      <w:r>
        <w:rPr>
          <w:rFonts w:hint="eastAsia" w:ascii="微软雅黑" w:hAnsi="微软雅黑" w:eastAsia="微软雅黑" w:cs="微软雅黑"/>
          <w:color w:val="231F20"/>
          <w:spacing w:val="-5"/>
          <w:sz w:val="22"/>
          <w:szCs w:val="22"/>
          <w:lang w:val="en-US" w:eastAsia="zh-CN"/>
        </w:rPr>
        <w:t xml:space="preserve">   </w:t>
      </w:r>
      <w:r>
        <w:rPr>
          <w:rFonts w:hint="default" w:ascii="微软雅黑" w:hAnsi="微软雅黑" w:eastAsia="微软雅黑" w:cs="微软雅黑"/>
          <w:color w:val="231F20"/>
          <w:spacing w:val="-5"/>
          <w:sz w:val="22"/>
          <w:szCs w:val="22"/>
          <w:lang w:val="en-US" w:eastAsia="zh-CN"/>
        </w:rPr>
        <w:t>地址</w:t>
      </w:r>
      <w:r>
        <w:rPr>
          <w:rFonts w:hint="eastAsia" w:ascii="微软雅黑" w:hAnsi="微软雅黑" w:eastAsia="微软雅黑" w:cs="微软雅黑"/>
          <w:color w:val="231F20"/>
          <w:spacing w:val="-5"/>
          <w:sz w:val="22"/>
          <w:szCs w:val="22"/>
          <w:lang w:val="en-US" w:eastAsia="zh-CN"/>
        </w:rPr>
        <w:t>：</w:t>
      </w:r>
      <w:r>
        <w:rPr>
          <w:rFonts w:hint="default" w:ascii="微软雅黑" w:hAnsi="微软雅黑" w:eastAsia="微软雅黑" w:cs="微软雅黑"/>
          <w:color w:val="231F20"/>
          <w:spacing w:val="-5"/>
          <w:sz w:val="22"/>
          <w:szCs w:val="22"/>
          <w:lang w:val="en-US" w:eastAsia="zh-CN"/>
        </w:rPr>
        <w:t>深圳市光明区光明街道东周社区兴新路288号康佳光明科技中心A座C12</w:t>
      </w:r>
    </w:p>
    <w:p w14:paraId="338AA1E3">
      <w:pPr>
        <w:keepNext w:val="0"/>
        <w:keepLines w:val="0"/>
        <w:pageBreakBefore w:val="0"/>
        <w:widowControl w:val="0"/>
        <w:kinsoku/>
        <w:wordWrap/>
        <w:overflowPunct/>
        <w:topLinePunct w:val="0"/>
        <w:autoSpaceDE/>
        <w:autoSpaceDN/>
        <w:bidi w:val="0"/>
        <w:adjustRightInd/>
        <w:snapToGrid/>
        <w:spacing w:line="360" w:lineRule="auto"/>
        <w:ind w:left="15" w:right="120" w:hanging="4"/>
        <w:textAlignment w:val="auto"/>
        <w:rPr>
          <w:rFonts w:hint="default" w:ascii="微软雅黑" w:hAnsi="微软雅黑" w:eastAsia="微软雅黑" w:cs="微软雅黑"/>
          <w:color w:val="231F20"/>
          <w:spacing w:val="-5"/>
          <w:sz w:val="22"/>
          <w:szCs w:val="22"/>
          <w:lang w:val="en-US" w:eastAsia="zh-CN"/>
        </w:rPr>
      </w:pPr>
      <w:r>
        <w:rPr>
          <w:rFonts w:hint="default" w:ascii="微软雅黑" w:hAnsi="微软雅黑" w:eastAsia="微软雅黑" w:cs="微软雅黑"/>
          <w:color w:val="231F20"/>
          <w:spacing w:val="-5"/>
          <w:sz w:val="22"/>
          <w:szCs w:val="22"/>
          <w:lang w:val="en-US" w:eastAsia="zh-CN"/>
        </w:rPr>
        <w:t>联系人</w:t>
      </w:r>
      <w:r>
        <w:rPr>
          <w:rFonts w:hint="eastAsia" w:ascii="微软雅黑" w:hAnsi="微软雅黑" w:eastAsia="微软雅黑" w:cs="微软雅黑"/>
          <w:color w:val="231F20"/>
          <w:spacing w:val="-5"/>
          <w:sz w:val="22"/>
          <w:szCs w:val="22"/>
          <w:lang w:val="en-US" w:eastAsia="zh-CN"/>
        </w:rPr>
        <w:t>：郝经理17737609631</w:t>
      </w:r>
    </w:p>
    <w:p w14:paraId="04892C70">
      <w:pPr>
        <w:numPr>
          <w:ilvl w:val="0"/>
          <w:numId w:val="0"/>
        </w:numPr>
        <w:jc w:val="right"/>
        <w:rPr>
          <w:rFonts w:hint="default"/>
          <w:lang w:val="en-US" w:eastAsia="zh-CN"/>
        </w:rPr>
      </w:pPr>
      <w:r>
        <w:drawing>
          <wp:inline distT="0" distB="0" distL="114300" distR="114300">
            <wp:extent cx="899795" cy="864870"/>
            <wp:effectExtent l="0" t="0" r="14605"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4"/>
                    <a:stretch>
                      <a:fillRect/>
                    </a:stretch>
                  </pic:blipFill>
                  <pic:spPr>
                    <a:xfrm>
                      <a:off x="0" y="0"/>
                      <a:ext cx="899795" cy="864870"/>
                    </a:xfrm>
                    <a:prstGeom prst="rect">
                      <a:avLst/>
                    </a:prstGeom>
                    <a:noFill/>
                    <a:ln>
                      <a:noFill/>
                    </a:ln>
                  </pic:spPr>
                </pic:pic>
              </a:graphicData>
            </a:graphic>
          </wp:inline>
        </w:drawing>
      </w:r>
    </w:p>
    <w:sectPr>
      <w:footerReference r:id="rId4" w:type="default"/>
      <w:pgSz w:w="11906" w:h="16838"/>
      <w:pgMar w:top="1440" w:right="1800" w:bottom="1440" w:left="1800" w:header="1020"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6FD56">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9A3B48">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F9A3B48">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B9949">
    <w:pPr>
      <w:pBdr>
        <w:bottom w:val="single" w:color="808080" w:sz="4" w:space="0"/>
      </w:pBdr>
      <w:jc w:val="left"/>
      <w:rPr>
        <w:rFonts w:hint="default" w:ascii="微软雅黑" w:hAnsi="微软雅黑" w:eastAsia="微软雅黑" w:cs="微软雅黑"/>
        <w:b w:val="0"/>
        <w:bCs w:val="0"/>
        <w:color w:val="808080" w:themeColor="background1" w:themeShade="80"/>
        <w:sz w:val="22"/>
        <w:szCs w:val="32"/>
        <w:lang w:val="en-US" w:eastAsia="zh-CN"/>
      </w:rPr>
    </w:pPr>
    <w:r>
      <w:rPr>
        <w:rFonts w:hint="eastAsia" w:ascii="微软雅黑" w:hAnsi="微软雅黑" w:eastAsia="微软雅黑" w:cs="微软雅黑"/>
        <w:b w:val="0"/>
        <w:bCs w:val="0"/>
        <w:color w:val="808080" w:themeColor="background1" w:themeShade="80"/>
        <w:sz w:val="22"/>
        <w:szCs w:val="32"/>
        <w:lang w:val="en-US" w:eastAsia="zh-CN"/>
      </w:rPr>
      <w:t>FC100六路抛投用户手册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EF668C"/>
    <w:multiLevelType w:val="multilevel"/>
    <w:tmpl w:val="C5EF668C"/>
    <w:lvl w:ilvl="0" w:tentative="0">
      <w:start w:val="3"/>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D1F6EA80"/>
    <w:multiLevelType w:val="singleLevel"/>
    <w:tmpl w:val="D1F6EA80"/>
    <w:lvl w:ilvl="0" w:tentative="0">
      <w:start w:val="1"/>
      <w:numFmt w:val="decimal"/>
      <w:suff w:val="space"/>
      <w:lvlText w:val="%1、"/>
      <w:lvlJc w:val="left"/>
    </w:lvl>
  </w:abstractNum>
  <w:abstractNum w:abstractNumId="2">
    <w:nsid w:val="E5061F0D"/>
    <w:multiLevelType w:val="singleLevel"/>
    <w:tmpl w:val="E5061F0D"/>
    <w:lvl w:ilvl="0" w:tentative="0">
      <w:start w:val="1"/>
      <w:numFmt w:val="decimal"/>
      <w:suff w:val="space"/>
      <w:lvlText w:val="%1."/>
      <w:lvlJc w:val="left"/>
    </w:lvl>
  </w:abstractNum>
  <w:abstractNum w:abstractNumId="3">
    <w:nsid w:val="08F7A8CD"/>
    <w:multiLevelType w:val="singleLevel"/>
    <w:tmpl w:val="08F7A8CD"/>
    <w:lvl w:ilvl="0" w:tentative="0">
      <w:start w:val="1"/>
      <w:numFmt w:val="decimal"/>
      <w:lvlText w:val="%1."/>
      <w:lvlJc w:val="left"/>
      <w:pPr>
        <w:tabs>
          <w:tab w:val="left" w:pos="312"/>
        </w:tabs>
      </w:pPr>
    </w:lvl>
  </w:abstractNum>
  <w:abstractNum w:abstractNumId="4">
    <w:nsid w:val="0B10DE96"/>
    <w:multiLevelType w:val="singleLevel"/>
    <w:tmpl w:val="0B10DE96"/>
    <w:lvl w:ilvl="0" w:tentative="0">
      <w:start w:val="1"/>
      <w:numFmt w:val="decimal"/>
      <w:suff w:val="nothing"/>
      <w:lvlText w:val="%1、"/>
      <w:lvlJc w:val="left"/>
    </w:lvl>
  </w:abstractNum>
  <w:abstractNum w:abstractNumId="5">
    <w:nsid w:val="4F27D745"/>
    <w:multiLevelType w:val="singleLevel"/>
    <w:tmpl w:val="4F27D745"/>
    <w:lvl w:ilvl="0" w:tentative="0">
      <w:start w:val="1"/>
      <w:numFmt w:val="decimal"/>
      <w:suff w:val="space"/>
      <w:lvlText w:val="%1、"/>
      <w:lvlJc w:val="left"/>
    </w:lvl>
  </w:abstractNum>
  <w:abstractNum w:abstractNumId="6">
    <w:nsid w:val="67E0CE4A"/>
    <w:multiLevelType w:val="multilevel"/>
    <w:tmpl w:val="67E0CE4A"/>
    <w:lvl w:ilvl="0" w:tentative="0">
      <w:start w:val="3"/>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num w:numId="1">
    <w:abstractNumId w:val="6"/>
  </w:num>
  <w:num w:numId="2">
    <w:abstractNumId w:val="4"/>
  </w:num>
  <w:num w:numId="3">
    <w:abstractNumId w:val="1"/>
  </w:num>
  <w:num w:numId="4">
    <w:abstractNumId w:val="5"/>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5B31A6"/>
    <w:rsid w:val="03C1562C"/>
    <w:rsid w:val="042A0CA0"/>
    <w:rsid w:val="045126D0"/>
    <w:rsid w:val="085D1644"/>
    <w:rsid w:val="099550C0"/>
    <w:rsid w:val="0BAF6EE5"/>
    <w:rsid w:val="0D6F5263"/>
    <w:rsid w:val="0DE00E6C"/>
    <w:rsid w:val="119513D0"/>
    <w:rsid w:val="11BB562D"/>
    <w:rsid w:val="12B933AA"/>
    <w:rsid w:val="13E744B7"/>
    <w:rsid w:val="14E9249B"/>
    <w:rsid w:val="16D276A1"/>
    <w:rsid w:val="18707171"/>
    <w:rsid w:val="1B3B373E"/>
    <w:rsid w:val="1BAD5BED"/>
    <w:rsid w:val="25A20B86"/>
    <w:rsid w:val="279771C9"/>
    <w:rsid w:val="2A557F75"/>
    <w:rsid w:val="2A7F1496"/>
    <w:rsid w:val="2D5C161A"/>
    <w:rsid w:val="2F0C687D"/>
    <w:rsid w:val="347B3893"/>
    <w:rsid w:val="35C416CC"/>
    <w:rsid w:val="38CD7870"/>
    <w:rsid w:val="3A771BD6"/>
    <w:rsid w:val="3C356086"/>
    <w:rsid w:val="3EAE3161"/>
    <w:rsid w:val="405E3BCF"/>
    <w:rsid w:val="415B31A6"/>
    <w:rsid w:val="41D90F55"/>
    <w:rsid w:val="4654741A"/>
    <w:rsid w:val="47DE50CA"/>
    <w:rsid w:val="4881645C"/>
    <w:rsid w:val="492F4766"/>
    <w:rsid w:val="49A158FD"/>
    <w:rsid w:val="4A6929B8"/>
    <w:rsid w:val="4D212C70"/>
    <w:rsid w:val="4E453CD9"/>
    <w:rsid w:val="4ED74597"/>
    <w:rsid w:val="51055BA4"/>
    <w:rsid w:val="52601817"/>
    <w:rsid w:val="54D2203E"/>
    <w:rsid w:val="587A2F9E"/>
    <w:rsid w:val="59142C25"/>
    <w:rsid w:val="5D340245"/>
    <w:rsid w:val="62214605"/>
    <w:rsid w:val="67A41AAD"/>
    <w:rsid w:val="67A84CEE"/>
    <w:rsid w:val="6A5C61DA"/>
    <w:rsid w:val="6AAF0A00"/>
    <w:rsid w:val="6B00125C"/>
    <w:rsid w:val="6B343375"/>
    <w:rsid w:val="6FE253D4"/>
    <w:rsid w:val="78BE2756"/>
    <w:rsid w:val="7AE45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花纹模板"/>
      <sectRole val="1"/>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1755</Words>
  <Characters>1875</Characters>
  <Lines>0</Lines>
  <Paragraphs>0</Paragraphs>
  <TotalTime>0</TotalTime>
  <ScaleCrop>false</ScaleCrop>
  <LinksUpToDate>false</LinksUpToDate>
  <CharactersWithSpaces>1918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2025-11-19T08:15:00Z</dcterms:created>
  <dc:creator>featherwit</dc:creator>
  <cp:lastModifiedBy>featherwit</cp:lastModifiedBy>
  <dcterms:modified xsi:type="dcterms:W3CDTF">2026-05-26T03:31:05Z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6FE94D53BE5749BDA9A12F2E5FF8591F_11</vt:lpwstr>
  </property>
  <property fmtid="{D5CDD505-2E9C-101B-9397-08002B2CF9AE}" pid="4" name="KSOTemplateDocerSaveRecord">
    <vt:lpwstr>eyJoZGlkIjoiMzJhZWI4NjMxNmM3Y2YwNjE1YjBkODE4MDVlY2NiZmUiLCJ1c2VySWQiOiIzNzEyMzg4NjgifQ==</vt:lpwstr>
  </property>
</Properties>
</file>