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251660288" behindDoc="0" locked="0" layoutInCell="1" allowOverlap="1">
                <wp:simplePos x="0" y="0"/>
                <wp:positionH relativeFrom="column">
                  <wp:posOffset>-1134745</wp:posOffset>
                </wp:positionH>
                <wp:positionV relativeFrom="paragraph">
                  <wp:posOffset>2144395</wp:posOffset>
                </wp:positionV>
                <wp:extent cx="7561580" cy="87503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61580" cy="875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sz w:val="48"/>
                                <w:szCs w:val="60"/>
                                <w:lang w:val="en-US" w:eastAsia="zh-CN"/>
                              </w:rPr>
                            </w:pPr>
                            <w:r>
                              <w:rPr>
                                <w:rFonts w:hint="eastAsia" w:ascii="微软雅黑" w:hAnsi="微软雅黑" w:eastAsia="微软雅黑" w:cs="微软雅黑"/>
                                <w:b/>
                                <w:bCs/>
                                <w:sz w:val="48"/>
                                <w:szCs w:val="60"/>
                                <w:lang w:val="en-US" w:eastAsia="zh-CN"/>
                              </w:rPr>
                              <w:t xml:space="preserve">BWG-40（FC100）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5pt;margin-top:168.85pt;height:68.9pt;width:595.4pt;z-index:251660288;mso-width-relative:page;mso-height-relative:page;" filled="f" stroked="f" coordsize="21600,21600" o:gfxdata="UEsDBAoAAAAAAIdO4kAAAAAAAAAAAAAAAAAEAAAAZHJzL1BLAwQUAAAACACHTuJAHBrioxIBAAAN&#10;AQAADwAAAGRycy9kb3ducmV2LnhtbAENAfL+PD94bWwgdmVyc2lvbj0iMS4wIiBlbmNvZGluZz0i&#10;VVRGLTgiIHN0YW5kYWxvbmU9InllcyI/Pg0KPGE6ZG93blJldlN0ZyB4bWxuczphPSJodHRwOi8v&#10;c2NoZW1hcy5vcGVueG1sZm9ybWF0cy5vcmcvZHJhd2luZ21sLzIwMDYvbWFpbiIgc2hhcGVDaGVj&#10;a1N1bT0iS0NGTmFSYjJtOHpsQ0hNZkFwcVVaNT09JiMxMDsiIHRleHRDaGVja1N1bT0iIiB2ZXI9&#10;IjEiPjxhOmJvdW5kcyBsPSItMTc4NyIgdD0iMzM3NyIgcj0iMTAxMjEiIGI9IjQ3NTUiLz48L2E6&#10;ZG93blJldlN0Zz5QSwMEFAAAAAgAh07iQJ7RDOlrBAAAZgQAAA4AAABkcnMvZTJvRG9jLnhtbAFm&#10;BJn7PD94bWwgdmVyc2lvbj0iMS4wIiBlbmNvZGluZz0iVVRGLTgiIHN0YW5kYWxvbmU9InllcyI/&#10;Pg0KPHdwOmUyb2hvbGRlciB4bWxuczp3cD0iaHR0cDovL3NjaGVtYXMub3BlbnhtbGZvcm1hdHMu&#10;b3JnL2RyYXdpbmdtbC8yMDA2L3dvcmRwcm9jZXNzaW5nRHJhd2luZyIgeG1sbnM6cj0iaHR0cDov&#10;L3NjaGVtYXMub3BlbnhtbGZvcm1hdHMub3JnL29mZmljZURvY3VtZW50LzIwMDYvcmVsYXRpb25z&#10;aGlwcyI+PHdwOmVmZmVjdE9mZnNldCBsPSIwIiB0PSIwIiByPSIwIiBiPSIwIi8+PGE6Z3JhcGhp&#10;YyB4bWxuczphPSJodHRwOi8vc2NoZW1hcy5vcGVueG1sZm9ybWF0cy5vcmcvZHJhd2luZ21sLzIw&#10;MDYvbWFpbiI+PGE6Z3JhcGhpY0RhdGEgdXJpPSJodHRwOi8vc2NoZW1hcy5taWNyb3NvZnQuY29t&#10;L29mZmljZS93b3JkLzIwMTAvd29yZHByb2Nlc3NpbmdTaGFwZSI+PHdwczp3c3AgeG1sbnM6d3Bz&#10;PSJodHRwOi8vc2NoZW1hcy5taWNyb3NvZnQuY29tL29mZmljZS93b3JkLzIwMTAvd29yZHByb2Nl&#10;c3NpbmdTaGFwZSI+PHdwczpjTnZQciBpZD0iNSIgbmFtZT0i5paH5pys5qGGIDUiLz48d3BzOmNO&#10;dlNwUHIgdHhCb3g9IjEiLz48d3BzOnNwUHI+PGE6eGZybT48YTpvZmYgeD0iMCIgeT0iMCIvPjxh&#10;OmV4dCBjeD0iNzU2MTU4MCIgY3k9Ijg3NTAzMCIvPjwvYTp4ZnJtPjxhOnByc3RHZW9tIHByc3Q9&#10;InJlY3QiPjxhOmF2THN0Lz48L2E6cHJzdEdlb20+PGE6bm9GaWxsLz48YTpsbiB3PSI2MzUwIj48&#10;YTpub0ZpbGwvPjwvYTpsbj48L3dwczpzcFByPjx3cHM6dHhieC8+PHdwczpib2R5UHIgcm90PSIw&#10;IiBzcGNGaXJzdExhc3RQYXJhPSIwIiB2ZXJ0T3ZlcmZsb3c9Im92ZXJmbG93IiBob3J6T3ZlcmZs&#10;b3c9Im92ZXJmbG93IiB2ZXJ0PSJob3J6IiB3cmFwPSJzcXVhcmUiIGxJbnM9IjkxNDQwIiB0SW5z&#10;PSI0NTcyMCIgcklucz0iOTE0NDAiIGJJbnM9IjQ1NzIwIiBudW1Db2w9IjEiIHNwY0NvbD0iMCIg&#10;cnRsQ29sPSIwIiBmcm9tV29yZEFydD0iMCIgYW5jaG9yPSJ0IiBhbmNob3JDdHI9IjAiIGZvcmNl&#10;QUE9IjAiIGNvbXBhdExuU3BjPSIxIj48YTpub0F1dG9maXQvPjwvd3BzOmJvZHlQcj48L3dwczp3&#10;c3A+PC9hOmdyYXBoaWNEYXRhPjwvYTpncmFwaGljPjwvd3A6ZTJvaG9sZGVyPlBLAwQKAAAAAACH&#10;TuJAAAAAAAAAAAAAAAAABgAAAF9yZWxzL1BLAwQUAAAACACHTuJAihRmPJkBAACUAQAACwAAAF9y&#10;ZWxzLy5yZWxzAZQBa/48P3htbCB2ZXJzaW9uPSIxLjAiIGVuY29kaW5nPSJVVEYtOCIgc3RhbmRh&#10;bG9uZT0ieWVzIj8+DQo8UmVsYXRpb25zaGlwcyB4bWxucz0iaHR0cDovL3NjaGVtYXMub3Blbnht&#10;bGZvcm1hdHMub3JnL3BhY2thZ2UvMjAwNi9yZWxhdGlvbnNoaXBzIj48UmVsYXRpb25zaGlwIElk&#10;PSJySWQyIiBUeXBlPSJodHRwOi8vc2NoZW1hcy5taWNyb3NvZnQuY29tL29mZmljZS8yMDA2L3Jl&#10;bGF0aW9uc2hpcHMvZ3JhcGhpY0ZyYW1lRG9jIiBUYXJnZXQ9ImRycy9lMm9Eb2MueG1sIi8+PFJl&#10;bGF0aW9uc2hpcCBJZD0icklkMSIgVHlwZT0iaHR0cDovL3NjaGVtYXMubWljcm9zb2Z0LmNvbS9v&#10;ZmZpY2UvMjAwNi9yZWxhdGlvbnNoaXBzL2Rvd25SZXYiIFRhcmdldD0iZHJzL2Rvd25yZXYueG1s&#10;Ii8+PC9SZWxhdGlvbnNoaXBzPlBLAwQUAAAACACHTuJAfublIOYBAADhAQAAEwAAAFtDb250ZW50&#10;X1R5cGVzXS54bWwB4QEe/jw/eG1sIHZlcnNpb249IjEuMCIgZW5jb2Rpbmc9IlVURi04IiBzdGFu&#10;ZGFsb25lPSJ5ZXMiPz4NCjxUeXBlcyB4bWxucz0iaHR0cDovL3NjaGVtYXMub3BlbnhtbGZvcm1h&#10;dHMub3JnL3BhY2thZ2UvMjAwNi9jb250ZW50LXR5cGVzIj48RGVmYXVsdCBFeHRlbnNpb249InJl&#10;bHMiIENvbnRlbnRUeXBlPSJhcHBsaWNhdGlvbi92bmQub3BlbnhtbGZvcm1hdHMtcGFja2FnZS5y&#10;ZWxhdGlvbnNoaXBzK3htbCIvPjxEZWZhdWx0IEV4dGVuc2lvbj0ieG1sIiBDb250ZW50VHlwZT0i&#10;YXBwbGljYXRpb24veG1sIi8+PE92ZXJyaWRlIFBhcnROYW1lPSIvZHJzL2Rvd25yZXYueG1sIiBD&#10;b250ZW50VHlwZT0iYXBwbGljYXRpb24vdm5kLm1zLW9mZmljZS5EcnNEb3duUmV2K3htbCIvPjxP&#10;dmVycmlkZSBQYXJ0TmFtZT0iL2Rycy9lMm9Eb2MueG1sIiBDb250ZW50VHlwZT0iYXBwbGljYXRp&#10;b24vdm5kLm1zLW9mZmljZS5EcnNFMm9Eb2MreG1sIi8+PC9UeXBlcz5QSwECFAAUAAAACACHTuJA&#10;fublIOYBAADhAQAAEwAAAAAAAAABACAAAADeBwAAW0NvbnRlbnRfVHlwZXNdLnhtbFBLAQIUAAoA&#10;AAAAAIdO4kAAAAAAAAAAAAAAAAAGAAAAAAAAAAAAEAAAAPgFAABfcmVscy9QSwECFAAUAAAACACH&#10;TuJAihRmPJkBAACUAQAACwAAAAAAAAABACAAAAAcBgAAX3JlbHMvLnJlbHNQSwECFAAKAAAAAACH&#10;TuJAAAAAAAAAAAAAAAAABAAAAAAAAAAAABAAAAAAAAAAZHJzL1BLAQIUABQAAAAIAIdO4kAcGuKj&#10;EgEAAA0BAAAPAAAAAAAAAAEAIAAAACIAAABkcnMvZG93bnJldi54bWxQSwECFAAUAAAACACHTuJA&#10;ntEM6WsEAABmBAAADgAAAAAAAAABACAAAABhAQAAZHJzL2Uyb0RvYy54bWxQSwUGAAAAAAYABgBZ&#10;AQAA9QkAAAAA&#10;">
                <v:fill on="f" focussize="0,0"/>
                <v:stroke on="f" weight="0.5pt"/>
                <v:imagedata o:title=""/>
                <o:lock v:ext="edit" aspectratio="f"/>
                <v:textbox>
                  <w:txbxContent>
                    <w:p>
                      <w:pPr>
                        <w:jc w:val="center"/>
                        <w:rPr>
                          <w:rFonts w:hint="default" w:ascii="微软雅黑" w:hAnsi="微软雅黑" w:eastAsia="微软雅黑" w:cs="微软雅黑"/>
                          <w:b/>
                          <w:bCs/>
                          <w:sz w:val="48"/>
                          <w:szCs w:val="60"/>
                          <w:lang w:val="en-US" w:eastAsia="zh-CN"/>
                        </w:rPr>
                      </w:pPr>
                      <w:r>
                        <w:rPr>
                          <w:rFonts w:hint="eastAsia" w:ascii="微软雅黑" w:hAnsi="微软雅黑" w:eastAsia="微软雅黑" w:cs="微软雅黑"/>
                          <w:b/>
                          <w:bCs/>
                          <w:sz w:val="48"/>
                          <w:szCs w:val="60"/>
                          <w:lang w:val="en-US" w:eastAsia="zh-CN"/>
                        </w:rPr>
                        <w:t xml:space="preserve">BWG-40（FC100） </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-1134745</wp:posOffset>
                </wp:positionH>
                <wp:positionV relativeFrom="paragraph">
                  <wp:posOffset>2886075</wp:posOffset>
                </wp:positionV>
                <wp:extent cx="7561580" cy="87503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561580" cy="875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sz w:val="60"/>
                                <w:szCs w:val="112"/>
                                <w:lang w:val="en-US" w:eastAsia="zh-CN"/>
                              </w:rPr>
                            </w:pPr>
                            <w:r>
                              <w:rPr>
                                <w:rFonts w:hint="eastAsia" w:ascii="微软雅黑" w:hAnsi="微软雅黑" w:eastAsia="微软雅黑" w:cs="微软雅黑"/>
                                <w:b/>
                                <w:bCs/>
                                <w:sz w:val="56"/>
                                <w:szCs w:val="96"/>
                                <w:lang w:val="en-US" w:eastAsia="zh-CN"/>
                              </w:rPr>
                              <w:t>用户使用说明书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5pt;margin-top:227.25pt;height:68.9pt;width:595.4pt;z-index:251661312;mso-width-relative:page;mso-height-relative:page;" filled="f" stroked="f" coordsize="21600,21600" o:gfxdata="UEsDBAoAAAAAAIdO4kAAAAAAAAAAAAAAAAAEAAAAZHJzL1BLAwQUAAAACACHTuJAJqbqqBIBAAAN&#10;AQAADwAAAGRycy9kb3ducmV2LnhtbAENAfL+PD94bWwgdmVyc2lvbj0iMS4wIiBlbmNvZGluZz0i&#10;VVRGLTgiIHN0YW5kYWxvbmU9InllcyI/Pg0KPGE6ZG93blJldlN0ZyB4bWxuczphPSJodHRwOi8v&#10;c2NoZW1hcy5vcGVueG1sZm9ybWF0cy5vcmcvZHJhd2luZ21sLzIwMDYvbWFpbiIgc2hhcGVDaGVj&#10;a1N1bT0iS0NGTmFSYjJtOHpsQ0hNZkFwcVVaNT09JiMxMDsiIHRleHRDaGVja1N1bT0iIiB2ZXI9&#10;IjEiPjxhOmJvdW5kcyBsPSItMTc4NyIgdD0iNDU0NSIgcj0iMTAxMjEiIGI9IjU5MjMiLz48L2E6&#10;ZG93blJldlN0Zz5QSwMEFAAAAAgAh07iQASqsqVrBAAAZgQAAA4AAABkcnMvZTJvRG9jLnhtbAFm&#10;BJn7PD94bWwgdmVyc2lvbj0iMS4wIiBlbmNvZGluZz0iVVRGLTgiIHN0YW5kYWxvbmU9InllcyI/&#10;Pg0KPHdwOmUyb2hvbGRlciB4bWxuczp3cD0iaHR0cDovL3NjaGVtYXMub3BlbnhtbGZvcm1hdHMu&#10;b3JnL2RyYXdpbmdtbC8yMDA2L3dvcmRwcm9jZXNzaW5nRHJhd2luZyIgeG1sbnM6cj0iaHR0cDov&#10;L3NjaGVtYXMub3BlbnhtbGZvcm1hdHMub3JnL29mZmljZURvY3VtZW50LzIwMDYvcmVsYXRpb25z&#10;aGlwcyI+PHdwOmVmZmVjdE9mZnNldCBsPSIwIiB0PSIwIiByPSIwIiBiPSIwIi8+PGE6Z3JhcGhp&#10;YyB4bWxuczphPSJodHRwOi8vc2NoZW1hcy5vcGVueG1sZm9ybWF0cy5vcmcvZHJhd2luZ21sLzIw&#10;MDYvbWFpbiI+PGE6Z3JhcGhpY0RhdGEgdXJpPSJodHRwOi8vc2NoZW1hcy5taWNyb3NvZnQuY29t&#10;L29mZmljZS93b3JkLzIwMTAvd29yZHByb2Nlc3NpbmdTaGFwZSI+PHdwczp3c3AgeG1sbnM6d3Bz&#10;PSJodHRwOi8vc2NoZW1hcy5taWNyb3NvZnQuY29tL29mZmljZS93b3JkLzIwMTAvd29yZHByb2Nl&#10;c3NpbmdTaGFwZSI+PHdwczpjTnZQciBpZD0iOSIgbmFtZT0i5paH5pys5qGGIDkiLz48d3BzOmNO&#10;dlNwUHIgdHhCb3g9IjEiLz48d3BzOnNwUHI+PGE6eGZybT48YTpvZmYgeD0iMCIgeT0iMCIvPjxh&#10;OmV4dCBjeD0iNzU2MTU4MCIgY3k9Ijg3NTAzMCIvPjwvYTp4ZnJtPjxhOnByc3RHZW9tIHByc3Q9&#10;InJlY3QiPjxhOmF2THN0Lz48L2E6cHJzdEdlb20+PGE6bm9GaWxsLz48YTpsbiB3PSI2MzUwIj48&#10;YTpub0ZpbGwvPjwvYTpsbj48L3dwczpzcFByPjx3cHM6dHhieC8+PHdwczpib2R5UHIgcm90PSIw&#10;IiBzcGNGaXJzdExhc3RQYXJhPSIwIiB2ZXJ0T3ZlcmZsb3c9Im92ZXJmbG93IiBob3J6T3ZlcmZs&#10;b3c9Im92ZXJmbG93IiB2ZXJ0PSJob3J6IiB3cmFwPSJzcXVhcmUiIGxJbnM9IjkxNDQwIiB0SW5z&#10;PSI0NTcyMCIgcklucz0iOTE0NDAiIGJJbnM9IjQ1NzIwIiBudW1Db2w9IjEiIHNwY0NvbD0iMCIg&#10;cnRsQ29sPSIwIiBmcm9tV29yZEFydD0iMCIgYW5jaG9yPSJ0IiBhbmNob3JDdHI9IjAiIGZvcmNl&#10;QUE9IjAiIGNvbXBhdExuU3BjPSIxIj48YTpub0F1dG9maXQvPjwvd3BzOmJvZHlQcj48L3dwczp3&#10;c3A+PC9hOmdyYXBoaWNEYXRhPjwvYTpncmFwaGljPjwvd3A6ZTJvaG9sZGVyPlBLAwQKAAAAAACH&#10;TuJAAAAAAAAAAAAAAAAABgAAAF9yZWxzL1BLAwQUAAAACACHTuJAihRmPJkBAACUAQAACwAAAF9y&#10;ZWxzLy5yZWxzAZQBa/48P3htbCB2ZXJzaW9uPSIxLjAiIGVuY29kaW5nPSJVVEYtOCIgc3RhbmRh&#10;bG9uZT0ieWVzIj8+DQo8UmVsYXRpb25zaGlwcyB4bWxucz0iaHR0cDovL3NjaGVtYXMub3Blbnht&#10;bGZvcm1hdHMub3JnL3BhY2thZ2UvMjAwNi9yZWxhdGlvbnNoaXBzIj48UmVsYXRpb25zaGlwIElk&#10;PSJySWQyIiBUeXBlPSJodHRwOi8vc2NoZW1hcy5taWNyb3NvZnQuY29tL29mZmljZS8yMDA2L3Jl&#10;bGF0aW9uc2hpcHMvZ3JhcGhpY0ZyYW1lRG9jIiBUYXJnZXQ9ImRycy9lMm9Eb2MueG1sIi8+PFJl&#10;bGF0aW9uc2hpcCBJZD0icklkMSIgVHlwZT0iaHR0cDovL3NjaGVtYXMubWljcm9zb2Z0LmNvbS9v&#10;ZmZpY2UvMjAwNi9yZWxhdGlvbnNoaXBzL2Rvd25SZXYiIFRhcmdldD0iZHJzL2Rvd25yZXYueG1s&#10;Ii8+PC9SZWxhdGlvbnNoaXBzPlBLAwQUAAAACACHTuJAfublIOYBAADhAQAAEwAAAFtDb250ZW50&#10;X1R5cGVzXS54bWwB4QEe/jw/eG1sIHZlcnNpb249IjEuMCIgZW5jb2Rpbmc9IlVURi04IiBzdGFu&#10;ZGFsb25lPSJ5ZXMiPz4NCjxUeXBlcyB4bWxucz0iaHR0cDovL3NjaGVtYXMub3BlbnhtbGZvcm1h&#10;dHMub3JnL3BhY2thZ2UvMjAwNi9jb250ZW50LXR5cGVzIj48RGVmYXVsdCBFeHRlbnNpb249InJl&#10;bHMiIENvbnRlbnRUeXBlPSJhcHBsaWNhdGlvbi92bmQub3BlbnhtbGZvcm1hdHMtcGFja2FnZS5y&#10;ZWxhdGlvbnNoaXBzK3htbCIvPjxEZWZhdWx0IEV4dGVuc2lvbj0ieG1sIiBDb250ZW50VHlwZT0i&#10;YXBwbGljYXRpb24veG1sIi8+PE92ZXJyaWRlIFBhcnROYW1lPSIvZHJzL2Rvd25yZXYueG1sIiBD&#10;b250ZW50VHlwZT0iYXBwbGljYXRpb24vdm5kLm1zLW9mZmljZS5EcnNEb3duUmV2K3htbCIvPjxP&#10;dmVycmlkZSBQYXJ0TmFtZT0iL2Rycy9lMm9Eb2MueG1sIiBDb250ZW50VHlwZT0iYXBwbGljYXRp&#10;b24vdm5kLm1zLW9mZmljZS5EcnNFMm9Eb2MreG1sIi8+PC9UeXBlcz5QSwECFAAUAAAACACHTuJA&#10;fublIOYBAADhAQAAEwAAAAAAAAABACAAAADeBwAAW0NvbnRlbnRfVHlwZXNdLnhtbFBLAQIUAAoA&#10;AAAAAIdO4kAAAAAAAAAAAAAAAAAGAAAAAAAAAAAAEAAAAPgFAABfcmVscy9QSwECFAAUAAAACACH&#10;TuJAihRmPJkBAACUAQAACwAAAAAAAAABACAAAAAcBgAAX3JlbHMvLnJlbHNQSwECFAAKAAAAAACH&#10;TuJAAAAAAAAAAAAAAAAABAAAAAAAAAAAABAAAAAAAAAAZHJzL1BLAQIUABQAAAAIAIdO4kAmpuqo&#10;EgEAAA0BAAAPAAAAAAAAAAEAIAAAACIAAABkcnMvZG93bnJldi54bWxQSwECFAAUAAAACACHTuJA&#10;BKqypWsEAABmBAAADgAAAAAAAAABACAAAABhAQAAZHJzL2Uyb0RvYy54bWxQSwUGAAAAAAYABgBZ&#10;AQAA9QkAAAAA&#10;">
                <v:fill on="f" focussize="0,0"/>
                <v:stroke on="f" weight="0.5pt"/>
                <v:imagedata o:title=""/>
                <o:lock v:ext="edit" aspectratio="f"/>
                <v:textbox>
                  <w:txbxContent>
                    <w:p>
                      <w:pPr>
                        <w:jc w:val="center"/>
                        <w:rPr>
                          <w:rFonts w:hint="default" w:ascii="微软雅黑" w:hAnsi="微软雅黑" w:eastAsia="微软雅黑" w:cs="微软雅黑"/>
                          <w:b/>
                          <w:bCs/>
                          <w:sz w:val="60"/>
                          <w:szCs w:val="112"/>
                          <w:lang w:val="en-US" w:eastAsia="zh-CN"/>
                        </w:rPr>
                      </w:pPr>
                      <w:r>
                        <w:rPr>
                          <w:rFonts w:hint="eastAsia" w:ascii="微软雅黑" w:hAnsi="微软雅黑" w:eastAsia="微软雅黑" w:cs="微软雅黑"/>
                          <w:b/>
                          <w:bCs/>
                          <w:sz w:val="56"/>
                          <w:szCs w:val="96"/>
                          <w:lang w:val="en-US" w:eastAsia="zh-CN"/>
                        </w:rPr>
                        <w:t>用户使用说明书</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-1143635</wp:posOffset>
                </wp:positionH>
                <wp:positionV relativeFrom="paragraph">
                  <wp:posOffset>1487805</wp:posOffset>
                </wp:positionV>
                <wp:extent cx="7561580" cy="875030"/>
                <wp:effectExtent l="0" t="0" r="0" b="0"/>
                <wp:wrapNone/>
                <wp:docPr id="2" name="文本框 2"/>
                <wp:cNvGraphicFramePr/>
                <a:graphic xmlns:a="http://schemas.openxmlformats.org/drawingml/2006/main">
                  <a:graphicData uri="http://schemas.microsoft.com/office/word/2010/wordprocessingShape">
                    <wps:wsp>
                      <wps:cNvSpPr txBox="1"/>
                      <wps:spPr>
                        <a:xfrm>
                          <a:off x="1823720" y="2792730"/>
                          <a:ext cx="7561580" cy="875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sz w:val="56"/>
                                <w:szCs w:val="96"/>
                                <w:lang w:val="en-US" w:eastAsia="zh-CN"/>
                              </w:rPr>
                            </w:pPr>
                            <w:r>
                              <w:rPr>
                                <w:rFonts w:hint="eastAsia" w:ascii="微软雅黑" w:hAnsi="微软雅黑" w:eastAsia="微软雅黑" w:cs="微软雅黑"/>
                                <w:b/>
                                <w:bCs/>
                                <w:sz w:val="56"/>
                                <w:szCs w:val="96"/>
                                <w:lang w:val="en-US" w:eastAsia="zh-CN"/>
                              </w:rPr>
                              <w:t>FC100破窗水枪二合一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05pt;margin-top:117.15pt;height:68.9pt;width:595.4pt;z-index:251659264;mso-width-relative:page;mso-height-relative:page;" filled="f" stroked="f" coordsize="21600,21600" o:gfxdata="UEsDBAoAAAAAAIdO4kAAAAAAAAAAAAAAAAAEAAAAZHJzL1BLAwQUAAAACACHTuJAYbOMTBIBAAAN&#10;AQAADwAAAGRycy9kb3ducmV2LnhtbAENAfL+PD94bWwgdmVyc2lvbj0iMS4wIiBlbmNvZGluZz0i&#10;VVRGLTgiIHN0YW5kYWxvbmU9InllcyI/Pg0KPGE6ZG93blJldlN0ZyB4bWxuczphPSJodHRwOi8v&#10;c2NoZW1hcy5vcGVueG1sZm9ybWF0cy5vcmcvZHJhd2luZ21sLzIwMDYvbWFpbiIgc2hhcGVDaGVj&#10;a1N1bT0iS0NGTmFSYjJtOHpsQ0hNZkFwcVVaNT09JiMxMDsiIHRleHRDaGVja1N1bT0iIiB2ZXI9&#10;IjEiPjxhOmJvdW5kcyBsPSItMTgwMSIgdD0iMjM0MyIgcj0iMTAxMDciIGI9IjM3MjEiLz48L2E6&#10;ZG93blJldlN0Zz5QSwMEFAAAAAgAh07iQPW4Kjx3BAAAcgQAAA4AAABkcnMvZTJvRG9jLnhtbAFy&#10;BI37PD94bWwgdmVyc2lvbj0iMS4wIiBlbmNvZGluZz0iVVRGLTgiIHN0YW5kYWxvbmU9InllcyI/&#10;Pg0KPHdwOmUyb2hvbGRlciB4bWxuczp3cD0iaHR0cDovL3NjaGVtYXMub3BlbnhtbGZvcm1hdHMu&#10;b3JnL2RyYXdpbmdtbC8yMDA2L3dvcmRwcm9jZXNzaW5nRHJhd2luZyIgeG1sbnM6cj0iaHR0cDov&#10;L3NjaGVtYXMub3BlbnhtbGZvcm1hdHMub3JnL29mZmljZURvY3VtZW50LzIwMDYvcmVsYXRpb25z&#10;aGlwcyI+PHdwOmVmZmVjdE9mZnNldCBsPSIwIiB0PSIwIiByPSIwIiBiPSIwIi8+PGE6Z3JhcGhp&#10;YyB4bWxuczphPSJodHRwOi8vc2NoZW1hcy5vcGVueG1sZm9ybWF0cy5vcmcvZHJhd2luZ21sLzIw&#10;MDYvbWFpbiI+PGE6Z3JhcGhpY0RhdGEgdXJpPSJodHRwOi8vc2NoZW1hcy5taWNyb3NvZnQuY29t&#10;L29mZmljZS93b3JkLzIwMTAvd29yZHByb2Nlc3NpbmdTaGFwZSI+PHdwczp3c3AgeG1sbnM6d3Bz&#10;PSJodHRwOi8vc2NoZW1hcy5taWNyb3NvZnQuY29tL29mZmljZS93b3JkLzIwMTAvd29yZHByb2Nl&#10;c3NpbmdTaGFwZSI+PHdwczpjTnZQciBpZD0iMiIgbmFtZT0i5paH5pys5qGGIDIiLz48d3BzOmNO&#10;dlNwUHIgdHhCb3g9IjEiLz48d3BzOnNwUHI+PGE6eGZybT48YTpvZmYgeD0iMTgyMzcyMCIgeT0i&#10;Mjc5MjczMCIvPjxhOmV4dCBjeD0iNzU2MTU4MCIgY3k9Ijg3NTAzMCIvPjwvYTp4ZnJtPjxhOnBy&#10;c3RHZW9tIHByc3Q9InJlY3QiPjxhOmF2THN0Lz48L2E6cHJzdEdlb20+PGE6bm9GaWxsLz48YTps&#10;biB3PSI2MzUwIj48YTpub0ZpbGwvPjwvYTpsbj48L3dwczpzcFByPjx3cHM6dHhieC8+PHdwczpi&#10;b2R5UHIgcm90PSIwIiBzcGNGaXJzdExhc3RQYXJhPSIwIiB2ZXJ0T3ZlcmZsb3c9Im92ZXJmbG93&#10;IiBob3J6T3ZlcmZsb3c9Im92ZXJmbG93IiB2ZXJ0PSJob3J6IiB3cmFwPSJzcXVhcmUiIGxJbnM9&#10;IjkxNDQwIiB0SW5zPSI0NTcyMCIgcklucz0iOTE0NDAiIGJJbnM9IjQ1NzIwIiBudW1Db2w9IjEi&#10;IHNwY0NvbD0iMCIgcnRsQ29sPSIwIiBmcm9tV29yZEFydD0iMCIgYW5jaG9yPSJ0IiBhbmNob3JD&#10;dHI9IjAiIGZvcmNlQUE9IjAiIGNvbXBhdExuU3BjPSIxIj48YTpub0F1dG9maXQvPjwvd3BzOmJv&#10;ZHlQcj48L3dwczp3c3A+PC9hOmdyYXBoaWNEYXRhPjwvYTpncmFwaGljPjwvd3A6ZTJvaG9sZGVy&#10;PlBLAwQKAAAAAACHTuJAAAAAAAAAAAAAAAAABgAAAF9yZWxzL1BLAwQUAAAACACHTuJAihRmPJkB&#10;AACUAQAACwAAAF9yZWxzLy5yZWxzAZQBa/48P3htbCB2ZXJzaW9uPSIxLjAiIGVuY29kaW5nPSJV&#10;VEYtOCIgc3RhbmRhbG9uZT0ieWVzIj8+DQo8UmVsYXRpb25zaGlwcyB4bWxucz0iaHR0cDovL3Nj&#10;aGVtYXMub3BlbnhtbGZvcm1hdHMub3JnL3BhY2thZ2UvMjAwNi9yZWxhdGlvbnNoaXBzIj48UmVs&#10;YXRpb25zaGlwIElkPSJySWQyIiBUeXBlPSJodHRwOi8vc2NoZW1hcy5taWNyb3NvZnQuY29tL29m&#10;ZmljZS8yMDA2L3JlbGF0aW9uc2hpcHMvZ3JhcGhpY0ZyYW1lRG9jIiBUYXJnZXQ9ImRycy9lMm9E&#10;b2MueG1sIi8+PFJlbGF0aW9uc2hpcCBJZD0icklkMSIgVHlwZT0iaHR0cDovL3NjaGVtYXMubWlj&#10;cm9zb2Z0LmNvbS9vZmZpY2UvMjAwNi9yZWxhdGlvbnNoaXBzL2Rvd25SZXYiIFRhcmdldD0iZHJz&#10;L2Rvd25yZXYueG1sIi8+PC9SZWxhdGlvbnNoaXBzPlBLAwQUAAAACACHTuJAfublIOYBAADhAQAA&#10;EwAAAFtDb250ZW50X1R5cGVzXS54bWwB4QEe/jw/eG1sIHZlcnNpb249IjEuMCIgZW5jb2Rpbmc9&#10;IlVURi04IiBzdGFuZGFsb25lPSJ5ZXMiPz4NCjxUeXBlcyB4bWxucz0iaHR0cDovL3NjaGVtYXMu&#10;b3BlbnhtbGZvcm1hdHMub3JnL3BhY2thZ2UvMjAwNi9jb250ZW50LXR5cGVzIj48RGVmYXVsdCBF&#10;eHRlbnNpb249InJlbHMiIENvbnRlbnRUeXBlPSJhcHBsaWNhdGlvbi92bmQub3BlbnhtbGZvcm1h&#10;dHMtcGFja2FnZS5yZWxhdGlvbnNoaXBzK3htbCIvPjxEZWZhdWx0IEV4dGVuc2lvbj0ieG1sIiBD&#10;b250ZW50VHlwZT0iYXBwbGljYXRpb24veG1sIi8+PE92ZXJyaWRlIFBhcnROYW1lPSIvZHJzL2Rv&#10;d25yZXYueG1sIiBDb250ZW50VHlwZT0iYXBwbGljYXRpb24vdm5kLm1zLW9mZmljZS5EcnNEb3du&#10;UmV2K3htbCIvPjxPdmVycmlkZSBQYXJ0TmFtZT0iL2Rycy9lMm9Eb2MueG1sIiBDb250ZW50VHlw&#10;ZT0iYXBwbGljYXRpb24vdm5kLm1zLW9mZmljZS5EcnNFMm9Eb2MreG1sIi8+PC9UeXBlcz5QSwEC&#10;FAAUAAAACACHTuJAfublIOYBAADhAQAAEwAAAAAAAAABACAAAADqBwAAW0NvbnRlbnRfVHlwZXNd&#10;LnhtbFBLAQIUAAoAAAAAAIdO4kAAAAAAAAAAAAAAAAAGAAAAAAAAAAAAEAAAAAQGAABfcmVscy9Q&#10;SwECFAAUAAAACACHTuJAihRmPJkBAACUAQAACwAAAAAAAAABACAAAAAoBgAAX3JlbHMvLnJlbHNQ&#10;SwECFAAKAAAAAACHTuJAAAAAAAAAAAAAAAAABAAAAAAAAAAAABAAAAAAAAAAZHJzL1BLAQIUABQA&#10;AAAIAIdO4kBhs4xMEgEAAA0BAAAPAAAAAAAAAAEAIAAAACIAAABkcnMvZG93bnJldi54bWxQSwEC&#10;FAAUAAAACACHTuJA9bgqPHcEAAByBAAADgAAAAAAAAABACAAAABhAQAAZHJzL2Uyb0RvYy54bWxQ&#10;SwUGAAAAAAYABgBZAQAAAQoAAAAA&#10;">
                <v:fill on="f" focussize="0,0"/>
                <v:stroke on="f" weight="0.5pt"/>
                <v:imagedata o:title=""/>
                <o:lock v:ext="edit" aspectratio="f"/>
                <v:textbox>
                  <w:txbxContent>
                    <w:p>
                      <w:pPr>
                        <w:jc w:val="center"/>
                        <w:rPr>
                          <w:rFonts w:hint="default" w:ascii="微软雅黑" w:hAnsi="微软雅黑" w:eastAsia="微软雅黑" w:cs="微软雅黑"/>
                          <w:b/>
                          <w:bCs/>
                          <w:sz w:val="56"/>
                          <w:szCs w:val="96"/>
                          <w:lang w:val="en-US" w:eastAsia="zh-CN"/>
                        </w:rPr>
                      </w:pPr>
                      <w:r>
                        <w:rPr>
                          <w:rFonts w:hint="eastAsia" w:ascii="微软雅黑" w:hAnsi="微软雅黑" w:eastAsia="微软雅黑" w:cs="微软雅黑"/>
                          <w:b/>
                          <w:bCs/>
                          <w:sz w:val="56"/>
                          <w:szCs w:val="96"/>
                          <w:lang w:val="en-US" w:eastAsia="zh-CN"/>
                        </w:rPr>
                        <w:t>FC100破窗水枪二合一</w:t>
                      </w:r>
                    </w:p>
                  </w:txbxContent>
                </v:textbox>
              </v:shape>
            </w:pict>
          </mc:Fallback>
        </mc:AlternateContent>
      </w:r>
    </w:p>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center" w:pos="4153"/>
        </w:tabs>
        <w:bidi w:val="0"/>
        <w:jc w:val="center"/>
      </w:pPr>
    </w:p>
    <w:p>
      <w:pPr>
        <w:tabs>
          <w:tab w:val="center" w:pos="4153"/>
        </w:tabs>
        <w:bidi w:val="0"/>
        <w:jc w:val="center"/>
      </w:pPr>
    </w:p>
    <w:p>
      <w:pPr>
        <w:tabs>
          <w:tab w:val="center" w:pos="4153"/>
        </w:tabs>
        <w:bidi w:val="0"/>
        <w:jc w:val="center"/>
      </w:pPr>
    </w:p>
    <w:p>
      <w:pPr>
        <w:tabs>
          <w:tab w:val="center" w:pos="4153"/>
        </w:tabs>
        <w:bidi w:val="0"/>
        <w:jc w:val="center"/>
      </w:pPr>
    </w:p>
    <w:p>
      <w:pPr>
        <w:tabs>
          <w:tab w:val="center" w:pos="4153"/>
        </w:tabs>
        <w:bidi w:val="0"/>
        <w:jc w:val="center"/>
      </w:pPr>
    </w:p>
    <w:p>
      <w:pPr>
        <w:tabs>
          <w:tab w:val="center" w:pos="4153"/>
        </w:tabs>
        <w:bidi w:val="0"/>
        <w:jc w:val="center"/>
      </w:pPr>
    </w:p>
    <w:p>
      <w:pPr>
        <w:tabs>
          <w:tab w:val="center" w:pos="4153"/>
        </w:tabs>
        <w:bidi w:val="0"/>
        <w:jc w:val="center"/>
      </w:pPr>
    </w:p>
    <w:p>
      <w:pPr>
        <w:tabs>
          <w:tab w:val="center" w:pos="4153"/>
        </w:tabs>
        <w:bidi w:val="0"/>
        <w:jc w:val="center"/>
      </w:pPr>
    </w:p>
    <w:p>
      <w:pPr>
        <w:tabs>
          <w:tab w:val="center" w:pos="4153"/>
        </w:tabs>
        <w:bidi w:val="0"/>
        <w:jc w:val="center"/>
      </w:pPr>
    </w:p>
    <w:p>
      <w:pPr>
        <w:tabs>
          <w:tab w:val="center" w:pos="4153"/>
        </w:tabs>
        <w:bidi w:val="0"/>
        <w:jc w:val="center"/>
      </w:pPr>
    </w:p>
    <w:p>
      <w:pPr>
        <w:tabs>
          <w:tab w:val="center" w:pos="4153"/>
        </w:tabs>
        <w:bidi w:val="0"/>
        <w:jc w:val="center"/>
      </w:pPr>
    </w:p>
    <w:p>
      <w:pPr>
        <w:tabs>
          <w:tab w:val="center" w:pos="4153"/>
        </w:tabs>
        <w:bidi w:val="0"/>
        <w:jc w:val="center"/>
        <w:rPr>
          <w:lang w:val="en-US" w:eastAsia="zh-CN"/>
        </w:rPr>
        <w:sectPr>
          <w:headerReference r:id="rId3" w:type="default"/>
          <w:pgSz w:w="11906" w:h="16838"/>
          <w:pgMar w:top="1440" w:right="1800" w:bottom="1440" w:left="1800" w:header="851" w:footer="992" w:gutter="0"/>
          <w:cols w:space="425" w:num="1"/>
          <w:titlePg/>
          <w:docGrid w:type="lines" w:linePitch="312" w:charSpace="0"/>
        </w:sectPr>
      </w:pPr>
    </w:p>
    <w:sdt>
      <w:sdtPr>
        <w:rPr>
          <w:rFonts w:hint="eastAsia"/>
          <w:lang w:val="en-US" w:eastAsia="zh-CN"/>
        </w:rPr>
        <w:id w:val="147475211"/>
        <w15:color w:val="DBDBDB"/>
        <w:docPartObj>
          <w:docPartGallery w:val="Table of Contents"/>
          <w:docPartUnique/>
        </w:docPartObj>
      </w:sdtPr>
      <w:sdtEndPr>
        <w:rPr>
          <w:rFonts w:hint="eastAsia" w:ascii="微软雅黑" w:hAnsi="微软雅黑" w:eastAsia="微软雅黑" w:cs="微软雅黑"/>
          <w:kern w:val="2"/>
          <w:sz w:val="21"/>
          <w:szCs w:val="28"/>
          <w:lang w:val="en-US" w:eastAsia="zh-CN" w:bidi="ar-SA"/>
        </w:rPr>
      </w:sdtEndPr>
      <w:sdtContent>
        <w:p>
          <w:pPr>
            <w:pStyle w:val="2"/>
            <w:bidi w:val="0"/>
            <w:jc w:val="center"/>
          </w:pPr>
          <w:bookmarkStart w:id="0" w:name="_Toc3537"/>
          <w:r>
            <w:rPr>
              <w:rFonts w:hint="eastAsia"/>
            </w:rPr>
            <w:t>目录</w:t>
          </w:r>
          <w:bookmarkEnd w:id="0"/>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TOC \o "1-3" \h \u </w:instrText>
          </w:r>
          <w:r>
            <w:rPr>
              <w:rFonts w:hint="eastAsia" w:ascii="微软雅黑" w:hAnsi="微软雅黑" w:eastAsia="微软雅黑" w:cs="微软雅黑"/>
              <w:sz w:val="24"/>
              <w:szCs w:val="24"/>
            </w:rPr>
            <w:fldChar w:fldCharType="separate"/>
          </w:r>
        </w:p>
        <w:p>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_Toc32001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一</w:t>
          </w:r>
          <w:r>
            <w:rPr>
              <w:rFonts w:hint="eastAsia" w:ascii="微软雅黑" w:hAnsi="微软雅黑" w:eastAsia="微软雅黑" w:cs="微软雅黑"/>
              <w:sz w:val="22"/>
              <w:szCs w:val="28"/>
            </w:rPr>
            <w:t>、产品介绍</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_Toc32001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2</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_Toc32521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二</w:t>
          </w:r>
          <w:r>
            <w:rPr>
              <w:rFonts w:hint="eastAsia" w:ascii="微软雅黑" w:hAnsi="微软雅黑" w:eastAsia="微软雅黑" w:cs="微软雅黑"/>
              <w:sz w:val="22"/>
              <w:szCs w:val="28"/>
            </w:rPr>
            <w:t>、规格参数</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_Toc32521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2</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_Toc19161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三、 包装清单</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_Toc19161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3</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_Toc28580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四、 安装说明</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_Toc28580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4</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_Toc11968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五、 设备使用说明</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_Toc11968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4</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_Toc22116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六、 免责声明与警告</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_Toc22116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11</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pPr>
            <w:pStyle w:val="9"/>
            <w:tabs>
              <w:tab w:val="right" w:leader="dot" w:pos="8306"/>
            </w:tabs>
            <w:jc w:val="both"/>
            <w:rPr>
              <w:rFonts w:hint="eastAsia" w:ascii="微软雅黑" w:hAnsi="微软雅黑" w:eastAsia="微软雅黑" w:cs="微软雅黑"/>
              <w:sz w:val="22"/>
              <w:szCs w:val="28"/>
            </w:rPr>
          </w:pP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HYPERLINK \l _Toc10298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lang w:val="en-US" w:eastAsia="zh-CN"/>
            </w:rPr>
            <w:t>七、 保修条款</w:t>
          </w:r>
          <w:r>
            <w:rPr>
              <w:rFonts w:hint="eastAsia" w:ascii="微软雅黑" w:hAnsi="微软雅黑" w:eastAsia="微软雅黑" w:cs="微软雅黑"/>
              <w:sz w:val="22"/>
              <w:szCs w:val="28"/>
            </w:rPr>
            <w:tab/>
          </w:r>
          <w:r>
            <w:rPr>
              <w:rFonts w:hint="eastAsia" w:ascii="微软雅黑" w:hAnsi="微软雅黑" w:eastAsia="微软雅黑" w:cs="微软雅黑"/>
              <w:sz w:val="22"/>
              <w:szCs w:val="28"/>
            </w:rPr>
            <w:fldChar w:fldCharType="begin"/>
          </w:r>
          <w:r>
            <w:rPr>
              <w:rFonts w:hint="eastAsia" w:ascii="微软雅黑" w:hAnsi="微软雅黑" w:eastAsia="微软雅黑" w:cs="微软雅黑"/>
              <w:sz w:val="22"/>
              <w:szCs w:val="28"/>
            </w:rPr>
            <w:instrText xml:space="preserve"> PAGEREF _Toc10298 \h </w:instrText>
          </w:r>
          <w:r>
            <w:rPr>
              <w:rFonts w:hint="eastAsia" w:ascii="微软雅黑" w:hAnsi="微软雅黑" w:eastAsia="微软雅黑" w:cs="微软雅黑"/>
              <w:sz w:val="22"/>
              <w:szCs w:val="28"/>
            </w:rPr>
            <w:fldChar w:fldCharType="separate"/>
          </w:r>
          <w:r>
            <w:rPr>
              <w:rFonts w:hint="eastAsia" w:ascii="微软雅黑" w:hAnsi="微软雅黑" w:eastAsia="微软雅黑" w:cs="微软雅黑"/>
              <w:sz w:val="22"/>
              <w:szCs w:val="28"/>
            </w:rPr>
            <w:t>12</w:t>
          </w:r>
          <w:r>
            <w:rPr>
              <w:rFonts w:hint="eastAsia" w:ascii="微软雅黑" w:hAnsi="微软雅黑" w:eastAsia="微软雅黑" w:cs="微软雅黑"/>
              <w:sz w:val="22"/>
              <w:szCs w:val="28"/>
            </w:rPr>
            <w:fldChar w:fldCharType="end"/>
          </w:r>
          <w:r>
            <w:rPr>
              <w:rFonts w:hint="eastAsia" w:ascii="微软雅黑" w:hAnsi="微软雅黑" w:eastAsia="微软雅黑" w:cs="微软雅黑"/>
              <w:sz w:val="22"/>
              <w:szCs w:val="28"/>
            </w:rPr>
            <w:fldChar w:fldCharType="end"/>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微软雅黑" w:hAnsi="微软雅黑" w:eastAsia="微软雅黑" w:cs="微软雅黑"/>
              <w:kern w:val="2"/>
              <w:sz w:val="21"/>
              <w:szCs w:val="28"/>
              <w:lang w:val="en-US" w:eastAsia="zh-CN" w:bidi="ar-SA"/>
            </w:rPr>
          </w:pPr>
          <w:r>
            <w:rPr>
              <w:rFonts w:hint="eastAsia" w:ascii="微软雅黑" w:hAnsi="微软雅黑" w:eastAsia="微软雅黑" w:cs="微软雅黑"/>
              <w:szCs w:val="24"/>
            </w:rPr>
            <w:fldChar w:fldCharType="end"/>
          </w:r>
        </w:p>
      </w:sdtContent>
    </w:sdt>
    <w:p>
      <w:pPr>
        <w:rPr>
          <w:rFonts w:ascii="微软雅黑" w:hAnsi="微软雅黑" w:eastAsia="微软雅黑" w:cs="微软雅黑"/>
          <w:kern w:val="2"/>
          <w:sz w:val="21"/>
          <w:szCs w:val="28"/>
          <w:lang w:val="en-US" w:eastAsia="zh-CN" w:bidi="ar-SA"/>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pStyle w:val="3"/>
        <w:keepNext/>
        <w:keepLines/>
        <w:pageBreakBefore w:val="0"/>
        <w:widowControl w:val="0"/>
        <w:kinsoku/>
        <w:wordWrap/>
        <w:overflowPunct/>
        <w:topLinePunct w:val="0"/>
        <w:autoSpaceDE/>
        <w:autoSpaceDN/>
        <w:bidi w:val="0"/>
        <w:adjustRightInd/>
        <w:snapToGrid/>
        <w:spacing w:line="360" w:lineRule="auto"/>
        <w:textAlignment w:val="auto"/>
      </w:pPr>
      <w:bookmarkStart w:id="1" w:name="_Toc32001"/>
      <w:r>
        <w:rPr>
          <w:rFonts w:hint="eastAsia"/>
          <w:lang w:val="en-US" w:eastAsia="zh-CN"/>
        </w:rPr>
        <w:t>一</w:t>
      </w:r>
      <w:r>
        <w:t>、产品介绍</w:t>
      </w:r>
      <w:bookmarkEnd w:id="1"/>
    </w:p>
    <w:p>
      <w:pPr>
        <w:ind w:firstLine="420" w:firstLineChars="0"/>
        <w:rPr>
          <w:rFonts w:hint="eastAsia" w:ascii="微软雅黑" w:hAnsi="微软雅黑" w:eastAsia="微软雅黑" w:cs="微软雅黑"/>
          <w:color w:val="231F20"/>
          <w:spacing w:val="1"/>
          <w:sz w:val="22"/>
          <w:szCs w:val="22"/>
          <w:lang w:val="en-US" w:eastAsia="zh-CN"/>
        </w:rPr>
      </w:pPr>
      <w:r>
        <w:rPr>
          <w:rFonts w:hint="eastAsia" w:ascii="微软雅黑" w:hAnsi="微软雅黑" w:eastAsia="微软雅黑" w:cs="微软雅黑"/>
          <w:color w:val="231F20"/>
          <w:spacing w:val="1"/>
          <w:sz w:val="22"/>
          <w:szCs w:val="22"/>
          <w:lang w:val="en-US" w:eastAsia="zh-CN"/>
        </w:rPr>
        <w:t>光电瞄准模块配合，不管是自天还是黑夜，均可快速锁定目标位置。双发集束式发射筒，快速打开救援通道；搭配水枪快速实现高层消防救援；精准电控防误触设计，铝合金CNC精致机身框架，线路内置，安全可靠。</w:t>
      </w:r>
    </w:p>
    <w:p>
      <w:pPr>
        <w:keepNext w:val="0"/>
        <w:keepLines w:val="0"/>
        <w:pageBreakBefore w:val="0"/>
        <w:widowControl w:val="0"/>
        <w:kinsoku/>
        <w:wordWrap/>
        <w:overflowPunct/>
        <w:topLinePunct w:val="0"/>
        <w:autoSpaceDE/>
        <w:autoSpaceDN/>
        <w:bidi w:val="0"/>
        <w:adjustRightInd/>
        <w:snapToGrid/>
        <w:spacing w:before="316" w:line="360" w:lineRule="auto"/>
        <w:ind w:left="23" w:right="108" w:hanging="6"/>
        <w:jc w:val="center"/>
        <w:textAlignment w:val="auto"/>
        <w:rPr>
          <w:rFonts w:hint="eastAsia" w:ascii="微软雅黑" w:hAnsi="微软雅黑" w:eastAsia="微软雅黑" w:cs="微软雅黑"/>
          <w:color w:val="231F20"/>
          <w:spacing w:val="-1"/>
          <w:sz w:val="22"/>
          <w:szCs w:val="22"/>
          <w:lang w:eastAsia="zh-CN"/>
        </w:rPr>
      </w:pPr>
      <w:r>
        <w:drawing>
          <wp:inline distT="0" distB="0" distL="114300" distR="114300">
            <wp:extent cx="3373755" cy="1764030"/>
            <wp:effectExtent l="0" t="0" r="1714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373755" cy="1764030"/>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line="360" w:lineRule="auto"/>
        <w:textAlignment w:val="auto"/>
      </w:pPr>
      <w:bookmarkStart w:id="2" w:name="_Toc32521"/>
      <w:r>
        <w:rPr>
          <w:rFonts w:hint="eastAsia"/>
          <w:lang w:val="en-US" w:eastAsia="zh-CN"/>
        </w:rPr>
        <w:t>二</w:t>
      </w:r>
      <w:r>
        <w:t>、规格参数</w:t>
      </w:r>
      <w:bookmarkEnd w:id="2"/>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1"/>
        <w:gridCol w:w="4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071"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设备尺寸</w:t>
            </w:r>
          </w:p>
        </w:tc>
        <w:tc>
          <w:tcPr>
            <w:tcW w:w="4128" w:type="dxa"/>
            <w:vAlign w:val="center"/>
          </w:tcPr>
          <w:p>
            <w:pPr>
              <w:jc w:val="both"/>
              <w:rPr>
                <w:rFonts w:hint="eastAsia" w:ascii="微软雅黑" w:hAnsi="微软雅黑" w:eastAsia="微软雅黑" w:cs="微软雅黑"/>
                <w:sz w:val="22"/>
                <w:szCs w:val="22"/>
                <w:lang w:val="en-US" w:eastAsia="zh-CN"/>
              </w:rPr>
            </w:pPr>
            <w:r>
              <w:rPr>
                <w:rFonts w:hint="default" w:ascii="微软雅黑" w:hAnsi="微软雅黑" w:eastAsia="微软雅黑" w:cs="微软雅黑"/>
                <w:sz w:val="22"/>
                <w:szCs w:val="22"/>
                <w:lang w:eastAsia="zh-CN"/>
                <w:woUserID w:val="1"/>
              </w:rPr>
              <w:t>1808*120*158</w:t>
            </w:r>
            <w:r>
              <w:rPr>
                <w:rFonts w:hint="eastAsia" w:ascii="微软雅黑" w:hAnsi="微软雅黑" w:eastAsia="微软雅黑" w:cs="微软雅黑"/>
                <w:sz w:val="22"/>
                <w:szCs w:val="22"/>
                <w:lang w:val="en-US" w:eastAsia="zh-CN"/>
              </w:rPr>
              <w:t xml:space="preserve">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071"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重量</w:t>
            </w:r>
          </w:p>
        </w:tc>
        <w:tc>
          <w:tcPr>
            <w:tcW w:w="4128"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1.95kg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071" w:type="dxa"/>
            <w:vAlign w:val="center"/>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安装方式</w:t>
            </w:r>
          </w:p>
        </w:tc>
        <w:tc>
          <w:tcPr>
            <w:tcW w:w="4128" w:type="dxa"/>
            <w:vAlign w:val="center"/>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快拆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071"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喷射角度</w:t>
            </w:r>
          </w:p>
        </w:tc>
        <w:tc>
          <w:tcPr>
            <w:tcW w:w="4128"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可手动调节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071"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峰值功率</w:t>
            </w:r>
          </w:p>
        </w:tc>
        <w:tc>
          <w:tcPr>
            <w:tcW w:w="4128" w:type="dxa"/>
            <w:vAlign w:val="center"/>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≤15w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工作温度</w:t>
            </w:r>
          </w:p>
        </w:tc>
        <w:tc>
          <w:tcPr>
            <w:tcW w:w="4128" w:type="dxa"/>
            <w:vAlign w:val="center"/>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-20℃~45℃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水带直径</w:t>
            </w:r>
          </w:p>
        </w:tc>
        <w:tc>
          <w:tcPr>
            <w:tcW w:w="4128" w:type="dxa"/>
            <w:vAlign w:val="center"/>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40mm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控制方式</w:t>
            </w:r>
          </w:p>
        </w:tc>
        <w:tc>
          <w:tcPr>
            <w:tcW w:w="4128"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PSDK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发射方式</w:t>
            </w:r>
          </w:p>
        </w:tc>
        <w:tc>
          <w:tcPr>
            <w:tcW w:w="4128"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单发/双发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破窗距离</w:t>
            </w:r>
          </w:p>
        </w:tc>
        <w:tc>
          <w:tcPr>
            <w:tcW w:w="4128"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10m~15m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瞄准功能</w:t>
            </w:r>
          </w:p>
        </w:tc>
        <w:tc>
          <w:tcPr>
            <w:tcW w:w="4128" w:type="dxa"/>
            <w:vAlign w:val="center"/>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激光瞄准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灭火剂种类</w:t>
            </w:r>
          </w:p>
        </w:tc>
        <w:tc>
          <w:tcPr>
            <w:tcW w:w="4128"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消防泡沫/消防水剂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shd w:val="clear" w:color="auto" w:fill="auto"/>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建议使用高度</w:t>
            </w:r>
          </w:p>
        </w:tc>
        <w:tc>
          <w:tcPr>
            <w:tcW w:w="4128" w:type="dxa"/>
            <w:shd w:val="clear" w:color="auto" w:fill="auto"/>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0m~70m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shd w:val="clear" w:color="auto" w:fill="auto"/>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水带长度</w:t>
            </w:r>
          </w:p>
        </w:tc>
        <w:tc>
          <w:tcPr>
            <w:tcW w:w="4128" w:type="dxa"/>
            <w:shd w:val="clear" w:color="auto" w:fill="auto"/>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90m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shd w:val="clear" w:color="auto" w:fill="auto"/>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喷射有效射程</w:t>
            </w:r>
          </w:p>
        </w:tc>
        <w:tc>
          <w:tcPr>
            <w:tcW w:w="4128" w:type="dxa"/>
            <w:shd w:val="clear" w:color="auto" w:fill="auto"/>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10m~15m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shd w:val="clear" w:color="auto" w:fill="auto"/>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耐压</w:t>
            </w:r>
          </w:p>
        </w:tc>
        <w:tc>
          <w:tcPr>
            <w:tcW w:w="4128" w:type="dxa"/>
            <w:shd w:val="clear" w:color="auto" w:fill="auto"/>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2.5Mpa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爆破压力</w:t>
            </w:r>
          </w:p>
        </w:tc>
        <w:tc>
          <w:tcPr>
            <w:tcW w:w="4128"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3.2Mpa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071"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适配机型</w:t>
            </w:r>
          </w:p>
        </w:tc>
        <w:tc>
          <w:tcPr>
            <w:tcW w:w="4128" w:type="dxa"/>
            <w:vAlign w:val="center"/>
          </w:tcPr>
          <w:p>
            <w:pPr>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大疆FC100标准套</w:t>
            </w:r>
          </w:p>
        </w:tc>
      </w:tr>
    </w:tbl>
    <w:p>
      <w:pPr>
        <w:pStyle w:val="3"/>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3" w:name="_Toc19161"/>
      <w:r>
        <w:rPr>
          <w:rFonts w:hint="eastAsia"/>
          <w:lang w:val="en-US" w:eastAsia="zh-CN"/>
        </w:rPr>
        <w:t>包装清单</w:t>
      </w:r>
      <w:bookmarkEnd w:id="3"/>
    </w:p>
    <w:p>
      <w:pPr>
        <w:numPr>
          <w:ilvl w:val="0"/>
          <w:numId w:val="0"/>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标配</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0"/>
        <w:gridCol w:w="4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物品</w:t>
            </w:r>
          </w:p>
        </w:tc>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破窗发射器</w:t>
            </w:r>
          </w:p>
        </w:tc>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安装支架</w:t>
            </w:r>
          </w:p>
        </w:tc>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合格证</w:t>
            </w:r>
          </w:p>
        </w:tc>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保修卡</w:t>
            </w:r>
          </w:p>
        </w:tc>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供电线</w:t>
            </w:r>
          </w:p>
        </w:tc>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数据线</w:t>
            </w:r>
          </w:p>
        </w:tc>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M3L型扳手</w:t>
            </w:r>
          </w:p>
        </w:tc>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M4*12防松螺丝</w:t>
            </w:r>
          </w:p>
        </w:tc>
        <w:tc>
          <w:tcPr>
            <w:tcW w:w="4120" w:type="dxa"/>
          </w:tcPr>
          <w:p>
            <w:pPr>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120" w:type="dxa"/>
          </w:tcPr>
          <w:p>
            <w:pPr>
              <w:ind w:left="0" w:leftChars="0" w:firstLine="0" w:firstLineChars="0"/>
              <w:jc w:val="both"/>
              <w:rPr>
                <w:rFonts w:hint="default" w:ascii="微软雅黑" w:hAnsi="微软雅黑" w:eastAsia="微软雅黑" w:cs="微软雅黑"/>
                <w:sz w:val="22"/>
                <w:szCs w:val="22"/>
                <w:lang w:eastAsia="zh-CN"/>
                <w:woUserID w:val="1"/>
              </w:rPr>
            </w:pPr>
            <w:r>
              <w:rPr>
                <w:rFonts w:hint="default" w:ascii="微软雅黑" w:hAnsi="微软雅黑" w:eastAsia="微软雅黑" w:cs="微软雅黑"/>
                <w:sz w:val="22"/>
                <w:szCs w:val="22"/>
                <w:lang w:eastAsia="zh-CN"/>
                <w:woUserID w:val="1"/>
              </w:rPr>
              <w:t>测试工装</w:t>
            </w:r>
          </w:p>
        </w:tc>
        <w:tc>
          <w:tcPr>
            <w:tcW w:w="4120" w:type="dxa"/>
          </w:tcPr>
          <w:p>
            <w:pPr>
              <w:ind w:left="0" w:leftChars="0" w:firstLine="0" w:firstLineChars="0"/>
              <w:jc w:val="both"/>
              <w:rPr>
                <w:rFonts w:hint="default" w:ascii="微软雅黑" w:hAnsi="微软雅黑" w:eastAsia="微软雅黑" w:cs="微软雅黑"/>
                <w:sz w:val="22"/>
                <w:szCs w:val="22"/>
                <w:lang w:eastAsia="zh-CN"/>
                <w:woUserID w:val="1"/>
              </w:rPr>
            </w:pPr>
            <w:r>
              <w:rPr>
                <w:rFonts w:hint="default" w:ascii="微软雅黑" w:hAnsi="微软雅黑" w:eastAsia="微软雅黑" w:cs="微软雅黑"/>
                <w:sz w:val="22"/>
                <w:szCs w:val="22"/>
                <w:lang w:eastAsia="zh-CN"/>
                <w:woUserID w:val="1"/>
              </w:rPr>
              <w:t>1</w:t>
            </w:r>
          </w:p>
        </w:tc>
      </w:tr>
    </w:tbl>
    <w:p>
      <w:pPr>
        <w:jc w:val="both"/>
        <w:rPr>
          <w:rFonts w:hint="default" w:ascii="微软雅黑" w:hAnsi="微软雅黑" w:eastAsia="微软雅黑" w:cs="微软雅黑"/>
          <w:sz w:val="22"/>
          <w:szCs w:val="22"/>
          <w:lang w:val="en-US" w:eastAsia="zh-CN"/>
        </w:rPr>
      </w:pPr>
    </w:p>
    <w:p>
      <w:pPr>
        <w:pStyle w:val="3"/>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4" w:name="_Toc28580"/>
      <w:r>
        <w:rPr>
          <w:rFonts w:hint="eastAsia"/>
          <w:lang w:val="en-US" w:eastAsia="zh-CN"/>
        </w:rPr>
        <w:t>安装说明</w:t>
      </w:r>
      <w:bookmarkEnd w:id="4"/>
    </w:p>
    <w:p>
      <w:pPr>
        <w:numPr>
          <w:ilvl w:val="0"/>
          <w:numId w:val="2"/>
        </w:numPr>
        <w:rPr>
          <w:rFonts w:hint="eastAsia" w:ascii="微软雅黑" w:hAnsi="微软雅黑" w:eastAsia="微软雅黑" w:cs="微软雅黑"/>
          <w:sz w:val="22"/>
          <w:szCs w:val="22"/>
          <w:lang w:val="en-US" w:eastAsia="zh-CN"/>
        </w:rPr>
      </w:pPr>
      <w:bookmarkStart w:id="5" w:name="_Toc11968"/>
      <w:r>
        <w:rPr>
          <w:rFonts w:hint="eastAsia" w:ascii="微软雅黑" w:hAnsi="微软雅黑" w:eastAsia="微软雅黑" w:cs="微软雅黑"/>
          <w:sz w:val="22"/>
          <w:szCs w:val="22"/>
          <w:lang w:val="en-US" w:eastAsia="zh-CN"/>
        </w:rPr>
        <w:t>拆下飞机前盖</w:t>
      </w:r>
    </w:p>
    <w:p>
      <w:pPr>
        <w:numPr>
          <w:ilvl w:val="0"/>
          <w:numId w:val="0"/>
        </w:numPr>
        <w:jc w:val="center"/>
      </w:pPr>
      <w:r>
        <w:drawing>
          <wp:inline distT="0" distB="0" distL="114300" distR="114300">
            <wp:extent cx="3959860" cy="1988185"/>
            <wp:effectExtent l="0" t="0" r="2540" b="1206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tretch>
                      <a:fillRect/>
                    </a:stretch>
                  </pic:blipFill>
                  <pic:spPr>
                    <a:xfrm>
                      <a:off x="0" y="0"/>
                      <a:ext cx="3959860" cy="1988185"/>
                    </a:xfrm>
                    <a:prstGeom prst="rect">
                      <a:avLst/>
                    </a:prstGeom>
                    <a:noFill/>
                    <a:ln>
                      <a:noFill/>
                    </a:ln>
                  </pic:spPr>
                </pic:pic>
              </a:graphicData>
            </a:graphic>
          </wp:inline>
        </w:drawing>
      </w:r>
    </w:p>
    <w:p>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将配套的type-c线接入type-c口</w:t>
      </w:r>
    </w:p>
    <w:p>
      <w:pPr>
        <w:numPr>
          <w:ilvl w:val="0"/>
          <w:numId w:val="0"/>
        </w:numPr>
        <w:jc w:val="center"/>
      </w:pPr>
      <w:r>
        <w:drawing>
          <wp:inline distT="0" distB="0" distL="114300" distR="114300">
            <wp:extent cx="3959860" cy="2506980"/>
            <wp:effectExtent l="0" t="0" r="2540"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8"/>
                    <a:stretch>
                      <a:fillRect/>
                    </a:stretch>
                  </pic:blipFill>
                  <pic:spPr>
                    <a:xfrm>
                      <a:off x="0" y="0"/>
                      <a:ext cx="3959860" cy="2506980"/>
                    </a:xfrm>
                    <a:prstGeom prst="rect">
                      <a:avLst/>
                    </a:prstGeom>
                    <a:noFill/>
                    <a:ln>
                      <a:noFill/>
                    </a:ln>
                  </pic:spPr>
                </pic:pic>
              </a:graphicData>
            </a:graphic>
          </wp:inline>
        </w:drawing>
      </w:r>
    </w:p>
    <w:p>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取下机臂上的分电板保护罩</w:t>
      </w:r>
    </w:p>
    <w:p>
      <w:pPr>
        <w:widowControl w:val="0"/>
        <w:numPr>
          <w:ilvl w:val="0"/>
          <w:numId w:val="0"/>
        </w:numPr>
        <w:jc w:val="center"/>
      </w:pPr>
      <w:r>
        <w:drawing>
          <wp:inline distT="0" distB="0" distL="114300" distR="114300">
            <wp:extent cx="3959860" cy="2277745"/>
            <wp:effectExtent l="0" t="0" r="2540" b="825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9"/>
                    <a:stretch>
                      <a:fillRect/>
                    </a:stretch>
                  </pic:blipFill>
                  <pic:spPr>
                    <a:xfrm>
                      <a:off x="0" y="0"/>
                      <a:ext cx="3959860" cy="2277745"/>
                    </a:xfrm>
                    <a:prstGeom prst="rect">
                      <a:avLst/>
                    </a:prstGeom>
                    <a:noFill/>
                    <a:ln>
                      <a:noFill/>
                    </a:ln>
                  </pic:spPr>
                </pic:pic>
              </a:graphicData>
            </a:graphic>
          </wp:inline>
        </w:drawing>
      </w:r>
    </w:p>
    <w:p>
      <w:pPr>
        <w:widowControl w:val="0"/>
        <w:numPr>
          <w:ilvl w:val="0"/>
          <w:numId w:val="0"/>
        </w:numPr>
        <w:jc w:val="center"/>
      </w:pPr>
    </w:p>
    <w:p>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将供电线按同一颜色对接</w:t>
      </w:r>
    </w:p>
    <w:p>
      <w:pPr>
        <w:widowControl w:val="0"/>
        <w:numPr>
          <w:ilvl w:val="0"/>
          <w:numId w:val="0"/>
        </w:numPr>
        <w:jc w:val="center"/>
      </w:pPr>
      <w:r>
        <w:drawing>
          <wp:inline distT="0" distB="0" distL="114300" distR="114300">
            <wp:extent cx="3959860" cy="2234565"/>
            <wp:effectExtent l="0" t="0" r="2540" b="1333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tretch>
                      <a:fillRect/>
                    </a:stretch>
                  </pic:blipFill>
                  <pic:spPr>
                    <a:xfrm>
                      <a:off x="0" y="0"/>
                      <a:ext cx="3959860" cy="2234565"/>
                    </a:xfrm>
                    <a:prstGeom prst="rect">
                      <a:avLst/>
                    </a:prstGeom>
                    <a:noFill/>
                    <a:ln>
                      <a:noFill/>
                    </a:ln>
                  </pic:spPr>
                </pic:pic>
              </a:graphicData>
            </a:graphic>
          </wp:inline>
        </w:drawing>
      </w:r>
    </w:p>
    <w:p>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拆除FC100横梁下挂载</w:t>
      </w:r>
    </w:p>
    <w:p>
      <w:pPr>
        <w:widowControl w:val="0"/>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3959860" cy="2644775"/>
            <wp:effectExtent l="0" t="0" r="2540" b="3175"/>
            <wp:docPr id="23" name="图片 23" descr="fd7d82e0b898863ab66e166b1cb4b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d7d82e0b898863ab66e166b1cb4b4f0"/>
                    <pic:cNvPicPr>
                      <a:picLocks noChangeAspect="1"/>
                    </pic:cNvPicPr>
                  </pic:nvPicPr>
                  <pic:blipFill>
                    <a:blip r:embed="rId11"/>
                    <a:srcRect b="18190"/>
                    <a:stretch>
                      <a:fillRect/>
                    </a:stretch>
                  </pic:blipFill>
                  <pic:spPr>
                    <a:xfrm>
                      <a:off x="0" y="0"/>
                      <a:ext cx="3959860" cy="2644775"/>
                    </a:xfrm>
                    <a:prstGeom prst="rect">
                      <a:avLst/>
                    </a:prstGeom>
                  </pic:spPr>
                </pic:pic>
              </a:graphicData>
            </a:graphic>
          </wp:inline>
        </w:drawing>
      </w:r>
    </w:p>
    <w:p>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拆除后横梁下会有安装孔位</w:t>
      </w:r>
    </w:p>
    <w:p>
      <w:pPr>
        <w:widowControl w:val="0"/>
        <w:numPr>
          <w:ilvl w:val="0"/>
          <w:numId w:val="0"/>
        </w:numPr>
        <w:jc w:val="center"/>
      </w:pPr>
      <w:r>
        <w:drawing>
          <wp:inline distT="0" distB="0" distL="114300" distR="114300">
            <wp:extent cx="2673350" cy="1865630"/>
            <wp:effectExtent l="0" t="0" r="12700" b="127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2"/>
                    <a:stretch>
                      <a:fillRect/>
                    </a:stretch>
                  </pic:blipFill>
                  <pic:spPr>
                    <a:xfrm>
                      <a:off x="0" y="0"/>
                      <a:ext cx="2673350" cy="1865630"/>
                    </a:xfrm>
                    <a:prstGeom prst="rect">
                      <a:avLst/>
                    </a:prstGeom>
                    <a:noFill/>
                    <a:ln>
                      <a:noFill/>
                    </a:ln>
                  </pic:spPr>
                </pic:pic>
              </a:graphicData>
            </a:graphic>
          </wp:inline>
        </w:drawing>
      </w:r>
    </w:p>
    <w:p>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准备机载端快拆和4颗M6x20螺丝</w:t>
      </w:r>
    </w:p>
    <w:p>
      <w:pPr>
        <w:widowControl w:val="0"/>
        <w:numPr>
          <w:ilvl w:val="0"/>
          <w:numId w:val="0"/>
        </w:numPr>
        <w:jc w:val="center"/>
      </w:pPr>
      <w:r>
        <w:drawing>
          <wp:inline distT="0" distB="0" distL="114300" distR="114300">
            <wp:extent cx="3275965" cy="2644140"/>
            <wp:effectExtent l="0" t="0" r="635" b="381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tretch>
                      <a:fillRect/>
                    </a:stretch>
                  </pic:blipFill>
                  <pic:spPr>
                    <a:xfrm>
                      <a:off x="0" y="0"/>
                      <a:ext cx="3275965" cy="2644140"/>
                    </a:xfrm>
                    <a:prstGeom prst="rect">
                      <a:avLst/>
                    </a:prstGeom>
                    <a:noFill/>
                    <a:ln>
                      <a:noFill/>
                    </a:ln>
                  </pic:spPr>
                </pic:pic>
              </a:graphicData>
            </a:graphic>
          </wp:inline>
        </w:drawing>
      </w:r>
    </w:p>
    <w:p>
      <w:pPr>
        <w:numPr>
          <w:ilvl w:val="0"/>
          <w:numId w:val="2"/>
        </w:numP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快拆与孔位对齐后，使用螺丝固定。   注意：槽口与机头同向</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3599815" cy="2642870"/>
            <wp:effectExtent l="0" t="0" r="635" b="5080"/>
            <wp:docPr id="3" name="图片 3" descr="0fa424d6aee08f134389dfd4c9b30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fa424d6aee08f134389dfd4c9b30dfb"/>
                    <pic:cNvPicPr>
                      <a:picLocks noChangeAspect="1"/>
                    </pic:cNvPicPr>
                  </pic:nvPicPr>
                  <pic:blipFill>
                    <a:blip r:embed="rId14"/>
                    <a:srcRect b="26572"/>
                    <a:stretch>
                      <a:fillRect/>
                    </a:stretch>
                  </pic:blipFill>
                  <pic:spPr>
                    <a:xfrm>
                      <a:off x="0" y="0"/>
                      <a:ext cx="3599815" cy="2642870"/>
                    </a:xfrm>
                    <a:prstGeom prst="rect">
                      <a:avLst/>
                    </a:prstGeom>
                  </pic:spPr>
                </pic:pic>
              </a:graphicData>
            </a:graphic>
          </wp:inline>
        </w:drawing>
      </w:r>
    </w:p>
    <w:p>
      <w:pPr>
        <w:numPr>
          <w:ilvl w:val="0"/>
          <w:numId w:val="2"/>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将负载通信接口与负载电源输入接口正对自己，然后插入机载端快拆。</w:t>
      </w:r>
    </w:p>
    <w:p>
      <w:pPr>
        <w:numPr>
          <w:ilvl w:val="0"/>
          <w:numId w:val="0"/>
        </w:numPr>
        <w:jc w:val="center"/>
      </w:pPr>
      <w:r>
        <w:drawing>
          <wp:inline distT="0" distB="0" distL="114300" distR="114300">
            <wp:extent cx="3959860" cy="230441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rcRect l="10455" t="5920" r="13069" b="19229"/>
                    <a:stretch>
                      <a:fillRect/>
                    </a:stretch>
                  </pic:blipFill>
                  <pic:spPr>
                    <a:xfrm>
                      <a:off x="0" y="0"/>
                      <a:ext cx="3959860" cy="2304415"/>
                    </a:xfrm>
                    <a:prstGeom prst="rect">
                      <a:avLst/>
                    </a:prstGeom>
                    <a:noFill/>
                    <a:ln>
                      <a:noFill/>
                    </a:ln>
                  </pic:spPr>
                </pic:pic>
              </a:graphicData>
            </a:graphic>
          </wp:inline>
        </w:drawing>
      </w:r>
    </w:p>
    <w:p>
      <w:pPr>
        <w:numPr>
          <w:ilvl w:val="0"/>
          <w:numId w:val="2"/>
        </w:numP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旋转左右两边的快插旋钮将快拆锁住并插上负载通信线和负载电源线。</w:t>
      </w:r>
    </w:p>
    <w:p>
      <w:pPr>
        <w:numPr>
          <w:ilvl w:val="0"/>
          <w:numId w:val="0"/>
        </w:numPr>
        <w:jc w:val="center"/>
        <w:rPr>
          <w:rFonts w:hint="eastAsia" w:ascii="微软雅黑" w:hAnsi="微软雅黑" w:eastAsia="微软雅黑" w:cs="微软雅黑"/>
          <w:sz w:val="22"/>
          <w:szCs w:val="22"/>
          <w:lang w:val="en-US" w:eastAsia="zh-CN"/>
        </w:rPr>
      </w:pPr>
      <w:r>
        <w:drawing>
          <wp:inline distT="0" distB="0" distL="114300" distR="114300">
            <wp:extent cx="3959860" cy="1972945"/>
            <wp:effectExtent l="0" t="0" r="254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3959860" cy="1972945"/>
                    </a:xfrm>
                    <a:prstGeom prst="rect">
                      <a:avLst/>
                    </a:prstGeom>
                    <a:noFill/>
                    <a:ln>
                      <a:noFill/>
                    </a:ln>
                  </pic:spPr>
                </pic:pic>
              </a:graphicData>
            </a:graphic>
          </wp:inline>
        </w:drawing>
      </w:r>
    </w:p>
    <w:p>
      <w:pPr>
        <w:pStyle w:val="3"/>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设备使用说明</w:t>
      </w:r>
      <w:bookmarkEnd w:id="5"/>
    </w:p>
    <w:p>
      <w:pPr>
        <w:keepNext w:val="0"/>
        <w:keepLines w:val="0"/>
        <w:pageBreakBefore w:val="0"/>
        <w:widowControl w:val="0"/>
        <w:numPr>
          <w:ilvl w:val="0"/>
          <w:numId w:val="0"/>
        </w:numPr>
        <w:kinsoku/>
        <w:wordWrap/>
        <w:overflowPunct/>
        <w:topLinePunct w:val="0"/>
        <w:autoSpaceDE/>
        <w:autoSpaceDN/>
        <w:bidi w:val="0"/>
        <w:adjustRightInd/>
        <w:snapToGrid/>
        <w:ind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FC100破窗水枪二合一通过DJI PSDK与飞机连接，将设备Type-C线插入FC100机身前侧的Type-C接口上，飞机上电后且正常连接。</w:t>
      </w:r>
    </w:p>
    <w:p>
      <w:pPr>
        <w:numPr>
          <w:ilvl w:val="0"/>
          <w:numId w:val="3"/>
        </w:numP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进入飞行界面，点击PSDK按钮</w:t>
      </w:r>
    </w:p>
    <w:p>
      <w:pPr>
        <w:numPr>
          <w:ilvl w:val="0"/>
          <w:numId w:val="0"/>
        </w:numPr>
        <w:jc w:val="center"/>
      </w:pPr>
    </w:p>
    <w:p>
      <w:pPr>
        <w:numPr>
          <w:ilvl w:val="0"/>
          <w:numId w:val="0"/>
        </w:numPr>
        <w:jc w:val="center"/>
      </w:pPr>
      <w:r>
        <w:drawing>
          <wp:inline distT="0" distB="0" distL="114300" distR="114300">
            <wp:extent cx="3599815" cy="2105025"/>
            <wp:effectExtent l="0" t="0" r="63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3599815" cy="2105025"/>
                    </a:xfrm>
                    <a:prstGeom prst="rect">
                      <a:avLst/>
                    </a:prstGeom>
                    <a:noFill/>
                    <a:ln>
                      <a:noFill/>
                    </a:ln>
                  </pic:spPr>
                </pic:pic>
              </a:graphicData>
            </a:graphic>
          </wp:inline>
        </w:drawing>
      </w:r>
    </w:p>
    <w:p>
      <w:pPr>
        <w:numPr>
          <w:ilvl w:val="0"/>
          <w:numId w:val="0"/>
        </w:numPr>
        <w:jc w:val="center"/>
      </w:pPr>
      <w:r>
        <w:drawing>
          <wp:inline distT="0" distB="0" distL="114300" distR="114300">
            <wp:extent cx="3599815" cy="2104390"/>
            <wp:effectExtent l="0" t="0" r="63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3599815" cy="21043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组件说明：</w:t>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状态：可显示</w:t>
      </w:r>
      <w:r>
        <w:rPr>
          <w:rFonts w:hint="default" w:ascii="微软雅黑" w:hAnsi="微软雅黑" w:eastAsia="微软雅黑" w:cs="微软雅黑"/>
          <w:sz w:val="22"/>
          <w:szCs w:val="22"/>
          <w:lang w:eastAsia="zh-CN"/>
        </w:rPr>
        <w:t>破窗器</w:t>
      </w:r>
      <w:r>
        <w:rPr>
          <w:rFonts w:hint="eastAsia" w:ascii="微软雅黑" w:hAnsi="微软雅黑" w:eastAsia="微软雅黑" w:cs="微软雅黑"/>
          <w:sz w:val="22"/>
          <w:szCs w:val="22"/>
          <w:lang w:val="en-US" w:eastAsia="zh-CN"/>
        </w:rPr>
        <w:t>的提示语和使用状态。</w:t>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woUserID w:val="1"/>
        </w:rPr>
      </w:pPr>
      <w:r>
        <w:rPr>
          <w:rFonts w:hint="eastAsia" w:ascii="微软雅黑" w:hAnsi="微软雅黑" w:eastAsia="微软雅黑" w:cs="微软雅黑"/>
          <w:sz w:val="22"/>
          <w:szCs w:val="22"/>
          <w:lang w:val="en-US" w:eastAsia="zh-CN"/>
          <w:woUserID w:val="1"/>
        </w:rPr>
        <w:t>防误触开关：打开此开关后才可进行破窗的功能操作。</w:t>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woUserID w:val="1"/>
        </w:rPr>
      </w:pPr>
      <w:r>
        <w:rPr>
          <w:rFonts w:hint="eastAsia" w:ascii="微软雅黑" w:hAnsi="微软雅黑" w:eastAsia="微软雅黑" w:cs="微软雅黑"/>
          <w:sz w:val="22"/>
          <w:szCs w:val="22"/>
          <w:lang w:val="en-US" w:eastAsia="zh-CN"/>
          <w:woUserID w:val="1"/>
        </w:rPr>
        <w:t>发射破窗弹1：发射1号破窗弹。</w:t>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default" w:ascii="微软雅黑" w:hAnsi="微软雅黑" w:eastAsia="微软雅黑" w:cs="微软雅黑"/>
          <w:sz w:val="22"/>
          <w:szCs w:val="22"/>
          <w:lang w:val="en-US" w:eastAsia="zh-CN"/>
          <w:woUserID w:val="1"/>
        </w:rPr>
      </w:pPr>
      <w:r>
        <w:rPr>
          <w:rFonts w:hint="eastAsia" w:ascii="微软雅黑" w:hAnsi="微软雅黑" w:eastAsia="微软雅黑" w:cs="微软雅黑"/>
          <w:sz w:val="22"/>
          <w:szCs w:val="22"/>
          <w:lang w:val="en-US" w:eastAsia="zh-CN"/>
          <w:woUserID w:val="1"/>
        </w:rPr>
        <w:t>发射破窗弹2：发射2号破窗弹。</w:t>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状态信息栏：</w:t>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可显示使用破窗器的注意事项以及破窗弹的状态。</w:t>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信息栏中展示破窗弹状态共有</w:t>
      </w:r>
      <w:r>
        <w:rPr>
          <w:rFonts w:hint="default" w:ascii="微软雅黑" w:hAnsi="微软雅黑" w:eastAsia="微软雅黑" w:cs="微软雅黑"/>
          <w:sz w:val="22"/>
          <w:szCs w:val="22"/>
          <w:lang w:eastAsia="zh-CN"/>
          <w:woUserID w:val="1"/>
        </w:rPr>
        <w:t>三</w:t>
      </w:r>
      <w:r>
        <w:rPr>
          <w:rFonts w:hint="eastAsia" w:ascii="微软雅黑" w:hAnsi="微软雅黑" w:eastAsia="微软雅黑" w:cs="微软雅黑"/>
          <w:sz w:val="22"/>
          <w:szCs w:val="22"/>
          <w:lang w:val="en-US" w:eastAsia="zh-CN"/>
        </w:rPr>
        <w:t>种，分别为：禁止发射、允许发射、无破窗弹。</w:t>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①禁止发射，当首次连接PSDK时会显示禁止发射。</w:t>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②允许发射，当点亮了防误触开关后会检测发射舱是否有破窗弹，有破窗弹即显示允许发射</w:t>
      </w:r>
    </w:p>
    <w:p>
      <w:pPr>
        <w:keepNext w:val="0"/>
        <w:keepLines w:val="0"/>
        <w:pageBreakBefore w:val="0"/>
        <w:widowControl w:val="0"/>
        <w:numPr>
          <w:ilvl w:val="0"/>
          <w:numId w:val="0"/>
        </w:numPr>
        <w:kinsoku/>
        <w:wordWrap/>
        <w:overflowPunct/>
        <w:topLinePunct w:val="0"/>
        <w:autoSpaceDE/>
        <w:autoSpaceDN/>
        <w:bidi w:val="0"/>
        <w:adjustRightInd/>
        <w:snapToGrid/>
        <w:ind w:left="0" w:firstLine="440" w:firstLineChars="200"/>
        <w:textAlignment w:val="auto"/>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③无破窗弹即显示无破窗弹。</w:t>
      </w:r>
    </w:p>
    <w:p>
      <w:pPr>
        <w:numPr>
          <w:ilvl w:val="0"/>
          <w:numId w:val="3"/>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点击打开防误触开关，检查破窗弹状态</w:t>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pPr>
      <w:r>
        <w:drawing>
          <wp:inline distT="0" distB="0" distL="114300" distR="114300">
            <wp:extent cx="3599815" cy="2026920"/>
            <wp:effectExtent l="0" t="0" r="63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3599815" cy="2026920"/>
                    </a:xfrm>
                    <a:prstGeom prst="rect">
                      <a:avLst/>
                    </a:prstGeom>
                    <a:noFill/>
                    <a:ln>
                      <a:noFill/>
                    </a:ln>
                  </pic:spPr>
                </pic:pic>
              </a:graphicData>
            </a:graphic>
          </wp:inline>
        </w:drawing>
      </w:r>
    </w:p>
    <w:p>
      <w:pPr>
        <w:numPr>
          <w:ilvl w:val="0"/>
          <w:numId w:val="3"/>
        </w:numPr>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破窗弹状态显示允许发射时，可点击发射破窗弹1或者发射破窗弹2</w:t>
      </w:r>
    </w:p>
    <w:p>
      <w:pPr>
        <w:keepNext w:val="0"/>
        <w:keepLines w:val="0"/>
        <w:pageBreakBefore w:val="0"/>
        <w:widowControl w:val="0"/>
        <w:numPr>
          <w:ilvl w:val="0"/>
          <w:numId w:val="0"/>
        </w:numPr>
        <w:kinsoku/>
        <w:wordWrap/>
        <w:overflowPunct/>
        <w:topLinePunct w:val="0"/>
        <w:autoSpaceDE/>
        <w:autoSpaceDN/>
        <w:bidi w:val="0"/>
        <w:adjustRightInd/>
        <w:snapToGrid/>
        <w:ind w:left="440" w:hanging="420" w:hangingChars="200"/>
        <w:jc w:val="center"/>
        <w:textAlignment w:val="auto"/>
        <w:rPr>
          <w:rFonts w:hint="default" w:ascii="微软雅黑" w:hAnsi="微软雅黑" w:eastAsia="微软雅黑" w:cs="微软雅黑"/>
          <w:sz w:val="22"/>
          <w:szCs w:val="22"/>
          <w:lang w:val="en-US" w:eastAsia="zh-CN"/>
        </w:rPr>
      </w:pPr>
      <w:r>
        <w:drawing>
          <wp:inline distT="0" distB="0" distL="114300" distR="114300">
            <wp:extent cx="3599815" cy="2105025"/>
            <wp:effectExtent l="0" t="0" r="63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3599815" cy="2105025"/>
                    </a:xfrm>
                    <a:prstGeom prst="rect">
                      <a:avLst/>
                    </a:prstGeom>
                    <a:noFill/>
                    <a:ln>
                      <a:noFill/>
                    </a:ln>
                  </pic:spPr>
                </pic:pic>
              </a:graphicData>
            </a:graphic>
          </wp:inline>
        </w:drawing>
      </w:r>
    </w:p>
    <w:p>
      <w:pPr>
        <w:pStyle w:val="3"/>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6" w:name="_Toc22116"/>
      <w:r>
        <w:rPr>
          <w:rFonts w:hint="eastAsia"/>
          <w:lang w:val="en-US" w:eastAsia="zh-CN"/>
        </w:rPr>
        <w:t>免责声明与警告</w:t>
      </w:r>
      <w:bookmarkEnd w:id="6"/>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感谢您购买</w:t>
      </w:r>
      <w:r>
        <w:rPr>
          <w:rFonts w:hint="eastAsia" w:ascii="微软雅黑" w:hAnsi="微软雅黑" w:eastAsia="微软雅黑" w:cs="微软雅黑"/>
          <w:color w:val="231F20"/>
          <w:spacing w:val="-2"/>
          <w:sz w:val="22"/>
          <w:szCs w:val="22"/>
          <w:lang w:val="en-US" w:eastAsia="zh-CN"/>
        </w:rPr>
        <w:t>本</w:t>
      </w:r>
      <w:r>
        <w:rPr>
          <w:rFonts w:ascii="微软雅黑" w:hAnsi="微软雅黑" w:eastAsia="微软雅黑" w:cs="微软雅黑"/>
          <w:color w:val="231F20"/>
          <w:spacing w:val="-2"/>
          <w:sz w:val="22"/>
          <w:szCs w:val="22"/>
        </w:rPr>
        <w:t>产品。本文所提及的内容关系到您的安全以及</w:t>
      </w:r>
      <w:r>
        <w:rPr>
          <w:rFonts w:ascii="微软雅黑" w:hAnsi="微软雅黑" w:eastAsia="微软雅黑" w:cs="微软雅黑"/>
          <w:color w:val="231F20"/>
          <w:spacing w:val="2"/>
          <w:sz w:val="22"/>
          <w:szCs w:val="22"/>
        </w:rPr>
        <w:t>合法权益与责任。</w:t>
      </w:r>
      <w:r>
        <w:rPr>
          <w:rFonts w:hint="eastAsia" w:ascii="微软雅黑" w:hAnsi="微软雅黑" w:eastAsia="微软雅黑" w:cs="微软雅黑"/>
          <w:sz w:val="22"/>
          <w:szCs w:val="22"/>
          <w:lang w:val="en-US" w:eastAsia="zh-CN"/>
        </w:rPr>
        <w:t>使用本产品之前，请仔细阅读本文以确保已对产品进行正确的设置。不遵循本文的说明与警告进行操作可能会给您和他人造成伤害</w:t>
      </w:r>
      <w:r>
        <w:rPr>
          <w:rFonts w:ascii="微软雅黑" w:hAnsi="微软雅黑" w:eastAsia="微软雅黑" w:cs="微软雅黑"/>
          <w:color w:val="231F20"/>
          <w:spacing w:val="-1"/>
          <w:sz w:val="22"/>
          <w:szCs w:val="22"/>
        </w:rPr>
        <w:t>，损坏本产品或其它周围的物品。本文档及所有</w:t>
      </w:r>
      <w:r>
        <w:rPr>
          <w:rFonts w:ascii="微软雅黑" w:hAnsi="微软雅黑" w:eastAsia="微软雅黑" w:cs="微软雅黑"/>
          <w:color w:val="231F20"/>
          <w:spacing w:val="-5"/>
          <w:sz w:val="22"/>
          <w:szCs w:val="22"/>
        </w:rPr>
        <w:t>相关的文档最终解释权归</w:t>
      </w:r>
      <w:r>
        <w:rPr>
          <w:rFonts w:hint="eastAsia" w:ascii="微软雅黑" w:hAnsi="微软雅黑" w:eastAsia="微软雅黑" w:cs="微软雅黑"/>
          <w:color w:val="231F20"/>
          <w:spacing w:val="-5"/>
          <w:sz w:val="22"/>
          <w:szCs w:val="22"/>
          <w:lang w:val="en-US" w:eastAsia="zh-CN"/>
        </w:rPr>
        <w:t>疆之载</w:t>
      </w:r>
      <w:r>
        <w:rPr>
          <w:rFonts w:ascii="微软雅黑" w:hAnsi="微软雅黑" w:eastAsia="微软雅黑" w:cs="微软雅黑"/>
          <w:color w:val="231F20"/>
          <w:spacing w:val="-5"/>
          <w:sz w:val="22"/>
          <w:szCs w:val="22"/>
        </w:rPr>
        <w:t>所有</w:t>
      </w:r>
      <w:r>
        <w:rPr>
          <w:rFonts w:ascii="微软雅黑" w:hAnsi="微软雅黑" w:eastAsia="微软雅黑" w:cs="微软雅黑"/>
          <w:color w:val="231F20"/>
          <w:spacing w:val="6"/>
          <w:sz w:val="22"/>
          <w:szCs w:val="22"/>
        </w:rPr>
        <w:t>。</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ascii="微软雅黑" w:hAnsi="微软雅黑" w:eastAsia="微软雅黑" w:cs="微软雅黑"/>
          <w:sz w:val="22"/>
          <w:szCs w:val="22"/>
        </w:rPr>
      </w:pPr>
      <w:r>
        <w:rPr>
          <w:rFonts w:ascii="微软雅黑" w:hAnsi="微软雅黑" w:eastAsia="微软雅黑" w:cs="微软雅黑"/>
          <w:color w:val="231F20"/>
          <w:spacing w:val="-8"/>
          <w:sz w:val="22"/>
          <w:szCs w:val="22"/>
        </w:rPr>
        <w:t>产品如遇硬件问题，请联系售后服务，切勿自行拆卸维修</w:t>
      </w:r>
      <w:r>
        <w:rPr>
          <w:rFonts w:ascii="微软雅黑" w:hAnsi="微软雅黑" w:eastAsia="微软雅黑" w:cs="微软雅黑"/>
          <w:color w:val="231F20"/>
          <w:spacing w:val="-9"/>
          <w:sz w:val="22"/>
          <w:szCs w:val="22"/>
        </w:rPr>
        <w:t>，否则</w:t>
      </w:r>
      <w:r>
        <w:rPr>
          <w:rFonts w:ascii="微软雅黑" w:hAnsi="微软雅黑" w:eastAsia="微软雅黑" w:cs="微软雅黑"/>
          <w:color w:val="231F20"/>
          <w:spacing w:val="-6"/>
          <w:sz w:val="22"/>
          <w:szCs w:val="22"/>
        </w:rPr>
        <w:t>将失去保修、维修资格。</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ascii="微软雅黑" w:hAnsi="微软雅黑" w:eastAsia="微软雅黑" w:cs="微软雅黑"/>
          <w:color w:val="231F20"/>
          <w:spacing w:val="-2"/>
          <w:sz w:val="22"/>
          <w:szCs w:val="22"/>
        </w:rPr>
      </w:pPr>
      <w:r>
        <w:rPr>
          <w:rFonts w:ascii="微软雅黑" w:hAnsi="微软雅黑" w:eastAsia="微软雅黑" w:cs="微软雅黑"/>
          <w:color w:val="231F20"/>
          <w:spacing w:val="-2"/>
          <w:sz w:val="22"/>
          <w:szCs w:val="22"/>
        </w:rPr>
        <w:t>严禁在人员密集区、易爆环境或超出设备设</w:t>
      </w:r>
      <w:r>
        <w:rPr>
          <w:rFonts w:ascii="微软雅黑" w:hAnsi="微软雅黑" w:eastAsia="微软雅黑" w:cs="微软雅黑"/>
          <w:color w:val="231F20"/>
          <w:spacing w:val="-3"/>
          <w:sz w:val="22"/>
          <w:szCs w:val="22"/>
        </w:rPr>
        <w:t>计能力的情况下使用。</w:t>
      </w:r>
      <w:r>
        <w:rPr>
          <w:rFonts w:ascii="微软雅黑" w:hAnsi="微软雅黑" w:eastAsia="微软雅黑" w:cs="微软雅黑"/>
          <w:color w:val="231F20"/>
          <w:spacing w:val="-1"/>
          <w:sz w:val="22"/>
          <w:szCs w:val="22"/>
        </w:rPr>
        <w:t>因环境误判导致的损失，责任由使用者自负。</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ascii="微软雅黑" w:hAnsi="微软雅黑" w:eastAsia="微软雅黑" w:cs="微软雅黑"/>
          <w:color w:val="231F20"/>
          <w:spacing w:val="-2"/>
          <w:sz w:val="22"/>
          <w:szCs w:val="22"/>
        </w:rPr>
      </w:pPr>
      <w:r>
        <w:rPr>
          <w:rFonts w:ascii="微软雅黑" w:hAnsi="微软雅黑" w:eastAsia="微软雅黑" w:cs="微软雅黑"/>
          <w:color w:val="231F20"/>
          <w:spacing w:val="-5"/>
          <w:sz w:val="22"/>
          <w:szCs w:val="22"/>
        </w:rPr>
        <w:t>本设备必须通电才能使用，需由经过专业培训的人员操作，使用者</w:t>
      </w:r>
      <w:r>
        <w:rPr>
          <w:rFonts w:ascii="微软雅黑" w:hAnsi="微软雅黑" w:eastAsia="微软雅黑" w:cs="微软雅黑"/>
          <w:color w:val="231F20"/>
          <w:spacing w:val="3"/>
          <w:sz w:val="22"/>
          <w:szCs w:val="22"/>
        </w:rPr>
        <w:t>需自行承担因操作不当、误判环境或违反安全</w:t>
      </w:r>
      <w:r>
        <w:rPr>
          <w:rFonts w:ascii="微软雅黑" w:hAnsi="微软雅黑" w:eastAsia="微软雅黑" w:cs="微软雅黑"/>
          <w:color w:val="231F20"/>
          <w:spacing w:val="2"/>
          <w:sz w:val="22"/>
          <w:szCs w:val="22"/>
        </w:rPr>
        <w:t>规程导致的直接或间接</w:t>
      </w:r>
      <w:r>
        <w:rPr>
          <w:rFonts w:ascii="微软雅黑" w:hAnsi="微软雅黑" w:eastAsia="微软雅黑" w:cs="微软雅黑"/>
          <w:color w:val="231F20"/>
          <w:spacing w:val="-2"/>
          <w:sz w:val="22"/>
          <w:szCs w:val="22"/>
        </w:rPr>
        <w:t>后果，制造商不承担任何法律责任。</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ascii="微软雅黑" w:hAnsi="微软雅黑" w:eastAsia="微软雅黑" w:cs="微软雅黑"/>
          <w:color w:val="231F20"/>
          <w:spacing w:val="-5"/>
          <w:sz w:val="22"/>
          <w:szCs w:val="22"/>
        </w:rPr>
      </w:pPr>
      <w:r>
        <w:rPr>
          <w:rFonts w:hint="eastAsia" w:ascii="微软雅黑" w:hAnsi="微软雅黑" w:eastAsia="微软雅黑" w:cs="微软雅黑"/>
          <w:color w:val="231F20"/>
          <w:spacing w:val="-5"/>
          <w:sz w:val="22"/>
          <w:szCs w:val="22"/>
          <w:lang w:val="en-US" w:eastAsia="zh-CN"/>
        </w:rPr>
        <w:t>该产品安装后，请确认是否正确连接，无松动。保障高空作业安全。</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right="7" w:firstLine="0" w:firstLineChars="0"/>
        <w:textAlignment w:val="auto"/>
        <w:rPr>
          <w:rFonts w:hint="eastAsia" w:ascii="微软雅黑" w:hAnsi="微软雅黑" w:eastAsia="微软雅黑" w:cs="微软雅黑"/>
          <w:color w:val="231F20"/>
          <w:spacing w:val="-5"/>
          <w:sz w:val="22"/>
          <w:szCs w:val="22"/>
          <w:lang w:val="en-US" w:eastAsia="zh-CN"/>
        </w:rPr>
      </w:pPr>
      <w:r>
        <w:rPr>
          <w:rFonts w:hint="eastAsia" w:ascii="微软雅黑" w:hAnsi="微软雅黑" w:eastAsia="微软雅黑" w:cs="微软雅黑"/>
          <w:color w:val="231F20"/>
          <w:spacing w:val="-5"/>
          <w:sz w:val="22"/>
          <w:szCs w:val="22"/>
          <w:lang w:val="en-US" w:eastAsia="zh-CN"/>
        </w:rPr>
        <w:t>设备使用时请保持安全距离，否则由此带来的伤害自行承担。</w:t>
      </w:r>
    </w:p>
    <w:p>
      <w:pPr>
        <w:pStyle w:val="3"/>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lang w:val="en-US" w:eastAsia="zh-CN"/>
        </w:rPr>
      </w:pPr>
      <w:bookmarkStart w:id="7" w:name="_Toc10298"/>
      <w:r>
        <w:rPr>
          <w:rFonts w:hint="eastAsia"/>
          <w:lang w:val="en-US" w:eastAsia="zh-CN"/>
        </w:rPr>
        <w:t>保修条款</w:t>
      </w:r>
      <w:bookmarkEnd w:id="7"/>
    </w:p>
    <w:p>
      <w:pPr>
        <w:keepNext w:val="0"/>
        <w:keepLines w:val="0"/>
        <w:pageBreakBefore w:val="0"/>
        <w:widowControl w:val="0"/>
        <w:numPr>
          <w:ilvl w:val="1"/>
          <w:numId w:val="4"/>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本产品自购买日起，享受一年内免费维修服务;</w:t>
      </w:r>
    </w:p>
    <w:p>
      <w:pPr>
        <w:keepNext w:val="0"/>
        <w:keepLines w:val="0"/>
        <w:pageBreakBefore w:val="0"/>
        <w:widowControl w:val="0"/>
        <w:numPr>
          <w:ilvl w:val="1"/>
          <w:numId w:val="4"/>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对于以下原因导致的产品故障不属于免费保修范围:</w:t>
      </w:r>
    </w:p>
    <w:p>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人为原因导致的产品故障</w:t>
      </w:r>
    </w:p>
    <w:p>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不可抗力:如地震、火灾等自然灾害造成的产品故障</w:t>
      </w:r>
    </w:p>
    <w:p>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自行拆装、修理造成的产品故障</w:t>
      </w:r>
    </w:p>
    <w:p>
      <w:pPr>
        <w:keepNext w:val="0"/>
        <w:keepLines w:val="0"/>
        <w:pageBreakBefore w:val="0"/>
        <w:widowControl w:val="0"/>
        <w:numPr>
          <w:ilvl w:val="2"/>
          <w:numId w:val="4"/>
        </w:numPr>
        <w:kinsoku/>
        <w:wordWrap/>
        <w:overflowPunct/>
        <w:topLinePunct w:val="0"/>
        <w:autoSpaceDE/>
        <w:autoSpaceDN/>
        <w:bidi w:val="0"/>
        <w:adjustRightInd/>
        <w:snapToGrid/>
        <w:spacing w:line="360" w:lineRule="auto"/>
        <w:ind w:left="0" w:leftChars="0" w:right="119" w:firstLine="0" w:firstLineChars="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返修时因未采用原包装导致的运输损伤</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sz w:val="22"/>
          <w:szCs w:val="22"/>
          <w:lang w:val="en-US" w:eastAsia="zh-CN"/>
        </w:rPr>
      </w:pPr>
    </w:p>
    <w:tbl>
      <w:tblPr>
        <w:tblStyle w:val="11"/>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1"/>
        <w:gridCol w:w="2141"/>
        <w:gridCol w:w="2145"/>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80" w:type="dxa"/>
            <w:gridSpan w:val="4"/>
          </w:tcPr>
          <w:p>
            <w:pPr>
              <w:keepNext w:val="0"/>
              <w:keepLines w:val="0"/>
              <w:pageBreakBefore w:val="0"/>
              <w:widowControl w:val="0"/>
              <w:numPr>
                <w:ilvl w:val="0"/>
                <w:numId w:val="0"/>
              </w:numPr>
              <w:tabs>
                <w:tab w:val="left" w:pos="2978"/>
              </w:tabs>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产品保修卡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41"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产品名称</w:t>
            </w:r>
          </w:p>
        </w:tc>
        <w:tc>
          <w:tcPr>
            <w:tcW w:w="2141"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c>
          <w:tcPr>
            <w:tcW w:w="2145"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产品型号</w:t>
            </w:r>
          </w:p>
        </w:tc>
        <w:tc>
          <w:tcPr>
            <w:tcW w:w="2153"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41"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购买单位或个人</w:t>
            </w:r>
          </w:p>
        </w:tc>
        <w:tc>
          <w:tcPr>
            <w:tcW w:w="2141"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c>
          <w:tcPr>
            <w:tcW w:w="2145"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联系电话</w:t>
            </w:r>
          </w:p>
        </w:tc>
        <w:tc>
          <w:tcPr>
            <w:tcW w:w="2153"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41"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购买日期</w:t>
            </w:r>
          </w:p>
        </w:tc>
        <w:tc>
          <w:tcPr>
            <w:tcW w:w="2141"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c>
          <w:tcPr>
            <w:tcW w:w="2145"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c>
          <w:tcPr>
            <w:tcW w:w="2153"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8580" w:type="dxa"/>
            <w:gridSpan w:val="4"/>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故障描述：</w:t>
            </w:r>
          </w:p>
        </w:tc>
      </w:tr>
    </w:tbl>
    <w:p>
      <w:pPr>
        <w:keepNext w:val="0"/>
        <w:keepLines w:val="0"/>
        <w:pageBreakBefore w:val="0"/>
        <w:widowControl w:val="0"/>
        <w:kinsoku/>
        <w:wordWrap/>
        <w:overflowPunct/>
        <w:topLinePunct w:val="0"/>
        <w:autoSpaceDE/>
        <w:autoSpaceDN/>
        <w:bidi w:val="0"/>
        <w:adjustRightInd/>
        <w:snapToGrid/>
        <w:spacing w:line="360" w:lineRule="auto"/>
        <w:ind w:right="120"/>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公司名称</w:t>
      </w:r>
      <w:r>
        <w:rPr>
          <w:rFonts w:hint="eastAsia" w:ascii="微软雅黑" w:hAnsi="微软雅黑" w:eastAsia="微软雅黑" w:cs="微软雅黑"/>
          <w:color w:val="231F20"/>
          <w:spacing w:val="-5"/>
          <w:sz w:val="22"/>
          <w:szCs w:val="22"/>
          <w:lang w:val="en-US" w:eastAsia="zh-CN"/>
        </w:rPr>
        <w:t>：</w:t>
      </w:r>
      <w:r>
        <w:rPr>
          <w:rFonts w:hint="default" w:ascii="微软雅黑" w:hAnsi="微软雅黑" w:eastAsia="微软雅黑" w:cs="微软雅黑"/>
          <w:color w:val="231F20"/>
          <w:spacing w:val="-5"/>
          <w:sz w:val="22"/>
          <w:szCs w:val="22"/>
          <w:lang w:val="en-US" w:eastAsia="zh-CN"/>
        </w:rPr>
        <w:t>深圳疆之载创新科技有限公司公司</w:t>
      </w:r>
      <w:r>
        <w:rPr>
          <w:rFonts w:hint="eastAsia" w:ascii="微软雅黑" w:hAnsi="微软雅黑" w:eastAsia="微软雅黑" w:cs="微软雅黑"/>
          <w:color w:val="231F20"/>
          <w:spacing w:val="-5"/>
          <w:sz w:val="22"/>
          <w:szCs w:val="22"/>
          <w:lang w:val="en-US" w:eastAsia="zh-CN"/>
        </w:rPr>
        <w:t xml:space="preserve">   </w:t>
      </w:r>
      <w:r>
        <w:rPr>
          <w:rFonts w:hint="default" w:ascii="微软雅黑" w:hAnsi="微软雅黑" w:eastAsia="微软雅黑" w:cs="微软雅黑"/>
          <w:color w:val="231F20"/>
          <w:spacing w:val="-5"/>
          <w:sz w:val="22"/>
          <w:szCs w:val="22"/>
          <w:lang w:val="en-US" w:eastAsia="zh-CN"/>
        </w:rPr>
        <w:t>地址</w:t>
      </w:r>
      <w:r>
        <w:rPr>
          <w:rFonts w:hint="eastAsia" w:ascii="微软雅黑" w:hAnsi="微软雅黑" w:eastAsia="微软雅黑" w:cs="微软雅黑"/>
          <w:color w:val="231F20"/>
          <w:spacing w:val="-5"/>
          <w:sz w:val="22"/>
          <w:szCs w:val="22"/>
          <w:lang w:val="en-US" w:eastAsia="zh-CN"/>
        </w:rPr>
        <w:t>：</w:t>
      </w:r>
      <w:r>
        <w:rPr>
          <w:rFonts w:hint="default" w:ascii="微软雅黑" w:hAnsi="微软雅黑" w:eastAsia="微软雅黑" w:cs="微软雅黑"/>
          <w:color w:val="231F20"/>
          <w:spacing w:val="-5"/>
          <w:sz w:val="22"/>
          <w:szCs w:val="22"/>
          <w:lang w:val="en-US" w:eastAsia="zh-CN"/>
        </w:rPr>
        <w:t>深圳市光明区光明街道东周社区兴新路288号康佳光明科技中心A座C12</w:t>
      </w:r>
    </w:p>
    <w:p>
      <w:pPr>
        <w:keepNext w:val="0"/>
        <w:keepLines w:val="0"/>
        <w:pageBreakBefore w:val="0"/>
        <w:widowControl w:val="0"/>
        <w:kinsoku/>
        <w:wordWrap/>
        <w:overflowPunct/>
        <w:topLinePunct w:val="0"/>
        <w:autoSpaceDE/>
        <w:autoSpaceDN/>
        <w:bidi w:val="0"/>
        <w:adjustRightInd/>
        <w:snapToGrid/>
        <w:spacing w:line="360" w:lineRule="auto"/>
        <w:ind w:left="15" w:right="120" w:hanging="4"/>
        <w:textAlignment w:val="auto"/>
        <w:rPr>
          <w:rFonts w:hint="default" w:ascii="微软雅黑" w:hAnsi="微软雅黑" w:eastAsia="微软雅黑" w:cs="微软雅黑"/>
          <w:color w:val="231F20"/>
          <w:spacing w:val="-5"/>
          <w:sz w:val="22"/>
          <w:szCs w:val="22"/>
          <w:lang w:val="en-US" w:eastAsia="zh-CN"/>
        </w:rPr>
      </w:pPr>
      <w:r>
        <w:rPr>
          <w:rFonts w:hint="default" w:ascii="微软雅黑" w:hAnsi="微软雅黑" w:eastAsia="微软雅黑" w:cs="微软雅黑"/>
          <w:color w:val="231F20"/>
          <w:spacing w:val="-5"/>
          <w:sz w:val="22"/>
          <w:szCs w:val="22"/>
          <w:lang w:val="en-US" w:eastAsia="zh-CN"/>
        </w:rPr>
        <w:t>联系人</w:t>
      </w:r>
      <w:r>
        <w:rPr>
          <w:rFonts w:hint="eastAsia" w:ascii="微软雅黑" w:hAnsi="微软雅黑" w:eastAsia="微软雅黑" w:cs="微软雅黑"/>
          <w:color w:val="231F20"/>
          <w:spacing w:val="-5"/>
          <w:sz w:val="22"/>
          <w:szCs w:val="22"/>
          <w:lang w:val="en-US" w:eastAsia="zh-CN"/>
        </w:rPr>
        <w:t>：郝经理17737609631</w:t>
      </w:r>
    </w:p>
    <w:p>
      <w:pPr>
        <w:numPr>
          <w:ilvl w:val="0"/>
          <w:numId w:val="0"/>
        </w:numPr>
        <w:jc w:val="right"/>
        <w:rPr>
          <w:rFonts w:hint="default"/>
          <w:lang w:val="en-US" w:eastAsia="zh-CN"/>
        </w:rPr>
      </w:pPr>
      <w:bookmarkStart w:id="8" w:name="_GoBack"/>
      <w:r>
        <w:drawing>
          <wp:inline distT="0" distB="0" distL="114300" distR="114300">
            <wp:extent cx="899795" cy="864870"/>
            <wp:effectExtent l="0" t="0" r="1460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899795" cy="864870"/>
                    </a:xfrm>
                    <a:prstGeom prst="rect">
                      <a:avLst/>
                    </a:prstGeom>
                    <a:noFill/>
                    <a:ln>
                      <a:noFill/>
                    </a:ln>
                  </pic:spPr>
                </pic:pic>
              </a:graphicData>
            </a:graphic>
          </wp:inline>
        </w:drawing>
      </w:r>
      <w:bookmarkEnd w:id="8"/>
    </w:p>
    <w:sectPr>
      <w:footerReference r:id="rId4" w:type="default"/>
      <w:pgSz w:w="11906" w:h="16838"/>
      <w:pgMar w:top="1440" w:right="1800" w:bottom="1440" w:left="1800" w:header="1020"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微软雅黑">
    <w:altName w:val="汉仪旗黑KW 55S"/>
    <w:panose1 w:val="020B0503020204020204"/>
    <w:charset w:val="86"/>
    <w:family w:val="auto"/>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DejaVu Sans">
    <w:panose1 w:val="020B0606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808080" w:sz="4" w:space="0"/>
      </w:pBdr>
      <w:jc w:val="left"/>
      <w:rPr>
        <w:rFonts w:hint="default" w:ascii="微软雅黑" w:hAnsi="微软雅黑" w:eastAsia="微软雅黑" w:cs="微软雅黑"/>
        <w:b w:val="0"/>
        <w:bCs w:val="0"/>
        <w:color w:val="7F7F7F" w:themeColor="background1" w:themeShade="80"/>
        <w:sz w:val="22"/>
        <w:szCs w:val="32"/>
        <w:lang w:val="en-US" w:eastAsia="zh-CN"/>
      </w:rPr>
    </w:pPr>
    <w:r>
      <w:rPr>
        <w:rFonts w:hint="eastAsia" w:ascii="微软雅黑" w:hAnsi="微软雅黑" w:eastAsia="微软雅黑" w:cs="微软雅黑"/>
        <w:b w:val="0"/>
        <w:bCs w:val="0"/>
        <w:color w:val="7F7F7F" w:themeColor="background1" w:themeShade="80"/>
        <w:sz w:val="22"/>
        <w:szCs w:val="32"/>
        <w:lang w:val="en-US" w:eastAsia="zh-CN"/>
      </w:rPr>
      <w:t>FC100破窗水枪二合一用户手册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1617A7"/>
    <w:multiLevelType w:val="singleLevel"/>
    <w:tmpl w:val="BC1617A7"/>
    <w:lvl w:ilvl="0" w:tentative="0">
      <w:start w:val="1"/>
      <w:numFmt w:val="decimal"/>
      <w:suff w:val="nothing"/>
      <w:lvlText w:val="%1、"/>
      <w:lvlJc w:val="left"/>
    </w:lvl>
  </w:abstractNum>
  <w:abstractNum w:abstractNumId="1">
    <w:nsid w:val="C5EF668C"/>
    <w:multiLevelType w:val="multilevel"/>
    <w:tmpl w:val="C5EF668C"/>
    <w:lvl w:ilvl="0" w:tentative="0">
      <w:start w:val="3"/>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2">
    <w:nsid w:val="0B10DE96"/>
    <w:multiLevelType w:val="singleLevel"/>
    <w:tmpl w:val="0B10DE96"/>
    <w:lvl w:ilvl="0" w:tentative="0">
      <w:start w:val="1"/>
      <w:numFmt w:val="decimal"/>
      <w:suff w:val="nothing"/>
      <w:lvlText w:val="%1、"/>
      <w:lvlJc w:val="left"/>
    </w:lvl>
  </w:abstractNum>
  <w:abstractNum w:abstractNumId="3">
    <w:nsid w:val="67E0CE4A"/>
    <w:multiLevelType w:val="multilevel"/>
    <w:tmpl w:val="67E0CE4A"/>
    <w:lvl w:ilvl="0" w:tentative="0">
      <w:start w:val="3"/>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5B31A6"/>
    <w:rsid w:val="03C1562C"/>
    <w:rsid w:val="042A0CA0"/>
    <w:rsid w:val="045126D0"/>
    <w:rsid w:val="06E83864"/>
    <w:rsid w:val="085D1644"/>
    <w:rsid w:val="099550C0"/>
    <w:rsid w:val="0B5F0852"/>
    <w:rsid w:val="0BAF6EE5"/>
    <w:rsid w:val="0D6F5263"/>
    <w:rsid w:val="0DE00E6C"/>
    <w:rsid w:val="10AC13BA"/>
    <w:rsid w:val="119513D0"/>
    <w:rsid w:val="11BB562D"/>
    <w:rsid w:val="12B933AA"/>
    <w:rsid w:val="13E744B7"/>
    <w:rsid w:val="14E9249B"/>
    <w:rsid w:val="16D276A1"/>
    <w:rsid w:val="18707171"/>
    <w:rsid w:val="1B3B373E"/>
    <w:rsid w:val="1BAD5BED"/>
    <w:rsid w:val="1EB241EE"/>
    <w:rsid w:val="209734CF"/>
    <w:rsid w:val="25A20B86"/>
    <w:rsid w:val="265F25D3"/>
    <w:rsid w:val="279771C9"/>
    <w:rsid w:val="2A557F75"/>
    <w:rsid w:val="2A7F1496"/>
    <w:rsid w:val="2D5C161A"/>
    <w:rsid w:val="2F0C687D"/>
    <w:rsid w:val="347B3893"/>
    <w:rsid w:val="35C416CC"/>
    <w:rsid w:val="38CD7870"/>
    <w:rsid w:val="398A2BC6"/>
    <w:rsid w:val="3A771BD6"/>
    <w:rsid w:val="3C356086"/>
    <w:rsid w:val="3EAE3161"/>
    <w:rsid w:val="3F8926D5"/>
    <w:rsid w:val="405E3BCF"/>
    <w:rsid w:val="415B31A6"/>
    <w:rsid w:val="41D90F55"/>
    <w:rsid w:val="46357180"/>
    <w:rsid w:val="4654741A"/>
    <w:rsid w:val="47DE50CA"/>
    <w:rsid w:val="4881645C"/>
    <w:rsid w:val="492F4766"/>
    <w:rsid w:val="49A158FD"/>
    <w:rsid w:val="4A6929B8"/>
    <w:rsid w:val="4E0B4C6B"/>
    <w:rsid w:val="4E453CD9"/>
    <w:rsid w:val="4ED74597"/>
    <w:rsid w:val="4F9C0BD2"/>
    <w:rsid w:val="51055BA4"/>
    <w:rsid w:val="52601817"/>
    <w:rsid w:val="54D2203E"/>
    <w:rsid w:val="587A2F9E"/>
    <w:rsid w:val="59142C25"/>
    <w:rsid w:val="593323C4"/>
    <w:rsid w:val="5D340245"/>
    <w:rsid w:val="62214605"/>
    <w:rsid w:val="67A41AAD"/>
    <w:rsid w:val="6A5C61DA"/>
    <w:rsid w:val="6AAF0A00"/>
    <w:rsid w:val="6B00125C"/>
    <w:rsid w:val="6B343375"/>
    <w:rsid w:val="6B712159"/>
    <w:rsid w:val="6FE253D4"/>
    <w:rsid w:val="6FFD28B9"/>
    <w:rsid w:val="78BE2756"/>
    <w:rsid w:val="7AE45997"/>
    <w:rsid w:val="7D8E1B42"/>
    <w:rsid w:val="7DFF3EAC"/>
    <w:rsid w:val="7FC33527"/>
    <w:rsid w:val="FEF7595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花纹模板"/>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1487</Words>
  <Characters>1631</Characters>
  <Lines>0</Lines>
  <Paragraphs>0</Paragraphs>
  <TotalTime>0</TotalTime>
  <ScaleCrop>false</ScaleCrop>
  <LinksUpToDate>false</LinksUpToDate>
  <CharactersWithSpaces>1681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2025-11-20T00:15:00Z</dcterms:created>
  <dc:creator>featherwit</dc:creator>
  <cp:lastModifiedBy>featherwit</cp:lastModifiedBy>
  <dcterms:modified xsi:type="dcterms:W3CDTF">2026-05-27T11:33:21Z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6FE94D53BE5749BDA9A12F2E5FF8591F_11</vt:lpwstr>
  </property>
  <property fmtid="{D5CDD505-2E9C-101B-9397-08002B2CF9AE}" pid="4" name="KSOTemplateDocerSaveRecord">
    <vt:lpwstr>eyJoZGlkIjoiMzJhZWI4NjMxNmM3Y2YwNjE1YjBkODE4MDVlY2NiZmUiLCJ1c2VySWQiOiIzNzEyMzg4NjgifQ==</vt:lpwstr>
  </property>
</Properties>
</file>